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4B2" w:rsidP="00910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HLTAHW073 Practise social and emotional wellbeing in a clinical setting</w:t>
      </w:r>
      <w:r>
        <w:fldChar w:fldCharType="end"/>
      </w:r>
    </w:p>
    <w:p w:rsidR="009104B2" w:rsidP="009104B2">
      <w:pPr>
        <w:pStyle w:val="Version"/>
        <w:sectPr w:rsidSect="00783E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3E84" w:rsidP="00783E84">
      <w:pPr>
        <w:pStyle w:val="SuperHeading"/>
      </w:pPr>
      <w:r w:rsidRPr="00783E84">
        <w:t>HLTAHW073 Practise social and emotional wellbeing in a clinical setting</w:t>
      </w:r>
    </w:p>
    <w:p w:rsidR="00000000" w:rsidRPr="00783E84" w:rsidP="00783E84">
      <w:pPr>
        <w:pStyle w:val="Heading1"/>
      </w:pPr>
      <w:bookmarkStart w:id="1" w:name="O_745781"/>
      <w:bookmarkEnd w:id="1"/>
      <w:r w:rsidRPr="00783E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rPr>
                <w:rStyle w:val="SpecialBold"/>
              </w:rPr>
              <w:t>Comments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>Updated:</w:t>
            </w:r>
          </w:p>
          <w:p w:rsidR="00000000" w:rsidRPr="00783E84" w:rsidP="00783E84">
            <w:pPr>
              <w:pStyle w:val="ListBullet"/>
            </w:pPr>
            <w:r w:rsidRPr="00783E84">
              <w:t>assessor requirements statement</w:t>
            </w:r>
          </w:p>
          <w:p w:rsidR="00000000" w:rsidRPr="00783E84" w:rsidP="00783E84">
            <w:pPr>
              <w:pStyle w:val="ListBullet"/>
            </w:pPr>
            <w:r w:rsidRPr="00783E84">
              <w:t>foundation skills lead in statement</w:t>
            </w:r>
          </w:p>
          <w:p w:rsidR="00000000" w:rsidRPr="00783E84" w:rsidP="00783E84">
            <w:pPr>
              <w:pStyle w:val="ListBullet"/>
            </w:pPr>
            <w:r w:rsidRPr="00783E84">
              <w:t>licensing statement</w:t>
            </w:r>
          </w:p>
          <w:p w:rsidR="00000000" w:rsidRPr="00783E84" w:rsidP="00783E84">
            <w:pPr>
              <w:pStyle w:val="ListBullet"/>
            </w:pPr>
            <w:r w:rsidRPr="00783E84">
              <w:t>modification history to reflect 2012 standards</w:t>
            </w:r>
          </w:p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Equivalent outcome.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 xml:space="preserve">This version was released in </w:t>
            </w:r>
            <w:r w:rsidRPr="00783E84">
              <w:rPr>
                <w:rStyle w:val="Emphasis"/>
              </w:rPr>
              <w:t>HLT Health Training Package release 1.0</w:t>
            </w:r>
            <w:r w:rsidRPr="00783E84">
              <w:t xml:space="preserve"> and meets the requirements of the 2012 Standards for Training Packages.</w:t>
            </w:r>
          </w:p>
          <w:p w:rsidR="00000000" w:rsidRPr="00783E84" w:rsidP="00783E84">
            <w:pPr>
              <w:pStyle w:val="BodyText"/>
            </w:pPr>
            <w:r w:rsidRPr="00783E84">
              <w:t>Significant ch</w:t>
            </w:r>
            <w:r w:rsidRPr="00783E84">
              <w:t>anges to elements and performance criteria.</w:t>
            </w:r>
            <w:r w:rsidRPr="00783E84">
              <w:br/>
              <w:t>New evidence requirements for assessment, including volume and environment requirements.</w:t>
            </w:r>
          </w:p>
          <w:p w:rsidR="00000000" w:rsidRPr="00783E84" w:rsidP="00783E84">
            <w:pPr>
              <w:pStyle w:val="BodyText"/>
            </w:pPr>
            <w:r w:rsidRPr="00783E84">
              <w:t>Pre-requisite units removed.</w:t>
            </w:r>
          </w:p>
        </w:tc>
      </w:tr>
    </w:tbl>
    <w:p w:rsidR="00000000" w:rsidRPr="00783E84" w:rsidP="00783E84">
      <w:pPr>
        <w:pStyle w:val="BodyText"/>
      </w:pPr>
    </w:p>
    <w:p w:rsidR="00000000" w:rsidRPr="00783E84" w:rsidP="00783E84">
      <w:pPr>
        <w:pStyle w:val="AllowPageBreak"/>
      </w:pPr>
    </w:p>
    <w:p w:rsidR="00000000" w:rsidRPr="00783E84" w:rsidP="00783E84">
      <w:pPr>
        <w:pStyle w:val="Heading1"/>
      </w:pPr>
      <w:bookmarkStart w:id="2" w:name="O_745780"/>
      <w:bookmarkEnd w:id="2"/>
      <w:r w:rsidRPr="00783E84">
        <w:t>Application</w:t>
      </w:r>
    </w:p>
    <w:p w:rsidR="00000000" w:rsidRPr="00783E84" w:rsidP="009104B2">
      <w:pPr>
        <w:pStyle w:val="BodyText"/>
      </w:pPr>
      <w:r w:rsidRPr="00783E84">
        <w:t>This unit describes the required skills and knowledge to provid</w:t>
      </w:r>
      <w:r w:rsidRPr="00783E84">
        <w:t>e social and emotional wellbeing guidance and support to Aboriginal and/or Torres Strait Islander clients in crisis, in need and in the context of an ongoing supportive client/worker relationship.</w:t>
      </w:r>
    </w:p>
    <w:p w:rsidR="00000000" w:rsidRPr="00783E84" w:rsidP="009104B2">
      <w:pPr>
        <w:pStyle w:val="BodyText"/>
      </w:pPr>
      <w:r w:rsidRPr="00783E84">
        <w:t>It applies to senior Aboriginal and/or Torres Strait Islan</w:t>
      </w:r>
      <w:r w:rsidRPr="00783E84">
        <w:t xml:space="preserve">der Health Workers overseeing clinical aspects of the delivery of primary health care services and/or managing the overall delivery of primary health care services and programs to Aboriginal and/or Torres Strait Islander clients and communities. </w:t>
      </w:r>
    </w:p>
    <w:p w:rsidR="009104B2" w:rsidP="009104B2">
      <w:pPr>
        <w:pStyle w:val="BodyText"/>
      </w:pPr>
      <w:r w:rsidRPr="00783E84">
        <w:t>This uni</w:t>
      </w:r>
      <w:r w:rsidRPr="00783E84">
        <w:t>t equips Aboriginal and/or Torres Strait Islander Health Workers to provide support related to social and emotional wellbeing and does not infer that they are qualified counsellors.</w:t>
      </w:r>
    </w:p>
    <w:p w:rsidR="009104B2" w:rsidRPr="009104B2" w:rsidP="009104B2">
      <w:pPr>
        <w:pStyle w:val="BodyText"/>
        <w:rPr>
          <w:i/>
        </w:rPr>
      </w:pPr>
      <w:r w:rsidRPr="009104B2">
        <w:rPr>
          <w:rStyle w:val="Emphasis"/>
        </w:rPr>
        <w:t xml:space="preserve">The skills in this unit must be applied in accordance with Commonwealth </w:t>
      </w:r>
      <w:r w:rsidRPr="009104B2">
        <w:rPr>
          <w:rStyle w:val="Emphasis"/>
        </w:rPr>
        <w:t>and State/Territory legislation, Australian/New Zealand standards and industry codes of practice</w:t>
      </w:r>
      <w:r w:rsidRPr="009104B2">
        <w:rPr>
          <w:i/>
        </w:rPr>
        <w:t>.</w:t>
      </w:r>
    </w:p>
    <w:p w:rsidR="00000000" w:rsidRPr="00783E84" w:rsidP="00783E84">
      <w:pPr>
        <w:pStyle w:val="Heading1"/>
      </w:pPr>
      <w:bookmarkStart w:id="3" w:name="O_745779"/>
      <w:bookmarkEnd w:id="3"/>
      <w:r w:rsidRPr="00783E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rPr>
                <w:rStyle w:val="SpecialBold"/>
              </w:rPr>
              <w:t>PERFORMANCE CRITERIA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 xml:space="preserve">1. Differentiate between ways to conceptualise and treat mental disorders 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>1.1</w:t>
            </w:r>
            <w:r w:rsidRPr="00783E84">
              <w:tab/>
              <w:t xml:space="preserve">Use mental health classification systems appropriately when diagnosing </w:t>
            </w:r>
            <w:r w:rsidRPr="00783E84">
              <w:t xml:space="preserve">Aboriginal and/or Torres Strait Islander people </w:t>
            </w:r>
          </w:p>
          <w:p w:rsidR="00000000" w:rsidRPr="00783E84" w:rsidP="00783E84">
            <w:pPr>
              <w:pStyle w:val="BodyText"/>
            </w:pPr>
            <w:r w:rsidRPr="00783E84">
              <w:t>1.2</w:t>
            </w:r>
            <w:r w:rsidRPr="00783E84">
              <w:tab/>
              <w:t>Identify situations where a traditional healer could make an effective contribution to the treatment and management of Aboriginal and/or Torres Strait Islander clients</w:t>
            </w:r>
          </w:p>
          <w:p w:rsidR="00000000" w:rsidRPr="00783E84" w:rsidP="00783E84">
            <w:pPr>
              <w:pStyle w:val="BodyText"/>
            </w:pPr>
            <w:r w:rsidRPr="00783E84">
              <w:t>1.3</w:t>
            </w:r>
            <w:r w:rsidRPr="00783E84">
              <w:tab/>
              <w:t>Investigate treatment approache</w:t>
            </w:r>
            <w:r w:rsidRPr="00783E84">
              <w:t>s to potentially reduce the stay in mental institutions for Aboriginal and/or Torres Strait Islander people and assist early return to their communities</w:t>
            </w:r>
          </w:p>
          <w:p w:rsidR="00000000" w:rsidRPr="00783E84" w:rsidP="00783E84">
            <w:pPr>
              <w:pStyle w:val="BodyText"/>
            </w:pPr>
            <w:r w:rsidRPr="00783E84">
              <w:t>1.4</w:t>
            </w:r>
            <w:r w:rsidRPr="00783E84">
              <w:tab/>
              <w:t>Examine and evaluate the environment of mental health facilities/institutions in relation to potent</w:t>
            </w:r>
            <w:r w:rsidRPr="00783E84">
              <w:t>ial impact on Aboriginal and/or Torres Strait Islander clients</w:t>
            </w:r>
          </w:p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1.5</w:t>
            </w:r>
            <w:r w:rsidRPr="00783E84">
              <w:tab/>
              <w:t>Identify the impact of cultural and spiritual factors on the way mental health problems develop and present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2. Address the organisation’s role and function in the management and treatme</w:t>
            </w:r>
            <w:r w:rsidRPr="00783E84">
              <w:t>nt of mental disorders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>2.1</w:t>
            </w:r>
            <w:r w:rsidRPr="00783E84">
              <w:tab/>
              <w:t xml:space="preserve">Identify ways in which the organisation’s administrative and health care staff can physically, spiritually and emotionally support Aboriginal and/or Torres Strait Islander people and their families </w:t>
            </w:r>
          </w:p>
          <w:p w:rsidR="00000000" w:rsidRPr="00783E84" w:rsidP="00783E84">
            <w:pPr>
              <w:pStyle w:val="BodyText"/>
            </w:pPr>
            <w:r w:rsidRPr="00783E84">
              <w:t>2.2</w:t>
            </w:r>
            <w:r w:rsidRPr="00783E84">
              <w:tab/>
              <w:t xml:space="preserve">Identify community health </w:t>
            </w:r>
            <w:r w:rsidRPr="00783E84">
              <w:t xml:space="preserve">organisation’s role and manner of preparing and supporting Aboriginal and/or Torres Strait Islander clients to re-enter their communities </w:t>
            </w:r>
          </w:p>
          <w:p w:rsidR="00000000" w:rsidRPr="00783E84" w:rsidP="00783E84">
            <w:pPr>
              <w:pStyle w:val="BodyText"/>
            </w:pPr>
            <w:r w:rsidRPr="00783E84">
              <w:t>2.3</w:t>
            </w:r>
            <w:r w:rsidRPr="00783E84">
              <w:tab/>
            </w:r>
            <w:r w:rsidRPr="00783E84">
              <w:t xml:space="preserve">Identify organisation policies and procedures that acknowledge the importance of Aboriginal and/or Torres Strait Islander people’s spiritual and emotional ties </w:t>
            </w:r>
          </w:p>
          <w:p w:rsidR="00000000" w:rsidRPr="00783E84" w:rsidP="00783E84">
            <w:pPr>
              <w:pStyle w:val="BodyText"/>
            </w:pPr>
            <w:r w:rsidRPr="00783E84">
              <w:t>2.4</w:t>
            </w:r>
            <w:r w:rsidRPr="00783E84">
              <w:tab/>
              <w:t xml:space="preserve">Clarify and support links between agencies providing primary, secondary and tertiary care </w:t>
            </w:r>
          </w:p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2.5</w:t>
            </w:r>
            <w:r w:rsidRPr="00783E84">
              <w:tab/>
              <w:t xml:space="preserve">Identify and access appropriately local government and non-government resources available to assist clients from remote areas 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3. Develop and maintain inter-sectoral networks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>3.1</w:t>
            </w:r>
            <w:r w:rsidRPr="00783E84">
              <w:tab/>
              <w:t>Recognise the importance of cross-sector collaborations between agenc</w:t>
            </w:r>
            <w:r w:rsidRPr="00783E84">
              <w:t>ies, particularly in the context of early intervention and treatment for clients with multiple diagnoses</w:t>
            </w:r>
          </w:p>
          <w:p w:rsidR="00000000" w:rsidRPr="00783E84" w:rsidP="00783E84">
            <w:pPr>
              <w:pStyle w:val="BodyText"/>
            </w:pPr>
            <w:r w:rsidRPr="00783E84">
              <w:t>3.2</w:t>
            </w:r>
            <w:r w:rsidRPr="00783E84">
              <w:tab/>
              <w:t xml:space="preserve">Identify the roles and functions of members of multidisciplinary health care teams </w:t>
            </w:r>
          </w:p>
          <w:p w:rsidR="00000000" w:rsidRPr="00783E84" w:rsidP="00783E84">
            <w:pPr>
              <w:pStyle w:val="BodyText"/>
            </w:pPr>
            <w:r w:rsidRPr="00783E84">
              <w:t>3.3</w:t>
            </w:r>
            <w:r w:rsidRPr="00783E84">
              <w:tab/>
              <w:t>Recognise different organisational cultures within a drug a</w:t>
            </w:r>
            <w:r w:rsidRPr="00783E84">
              <w:t xml:space="preserve">nd alcohol service and a mental health service, and identify their impact on workers </w:t>
            </w:r>
          </w:p>
          <w:p w:rsidR="00000000" w:rsidRPr="00783E84" w:rsidP="00783E84">
            <w:pPr>
              <w:pStyle w:val="BodyText"/>
            </w:pPr>
            <w:r w:rsidRPr="00783E84">
              <w:t>3.4</w:t>
            </w:r>
            <w:r w:rsidRPr="00783E84">
              <w:tab/>
              <w:t xml:space="preserve">Identify difficulties in addressing gaps in the system that impede continuity of care </w:t>
            </w:r>
          </w:p>
          <w:p w:rsidR="00000000" w:rsidRPr="00783E84" w:rsidP="00783E84">
            <w:pPr>
              <w:pStyle w:val="BodyText"/>
            </w:pPr>
            <w:r w:rsidRPr="00783E84">
              <w:t>3.5</w:t>
            </w:r>
            <w:r w:rsidRPr="00783E84">
              <w:tab/>
              <w:t>Emphasise factors/attributes that contribute to a flexible, dynamic and pro</w:t>
            </w:r>
            <w:r w:rsidRPr="00783E84">
              <w:t xml:space="preserve">ductive health team </w:t>
            </w:r>
          </w:p>
          <w:p w:rsidR="00000000" w:rsidRPr="00783E84" w:rsidP="00783E84">
            <w:pPr>
              <w:pStyle w:val="BodyText"/>
            </w:pPr>
            <w:r w:rsidRPr="00783E84">
              <w:t>3.6</w:t>
            </w:r>
            <w:r w:rsidRPr="00783E84">
              <w:tab/>
              <w:t xml:space="preserve">Recognise the importance of policies that reflect equal opportunity and ensure that staff participate in cross-cultural awareness programs </w:t>
            </w:r>
          </w:p>
          <w:p w:rsidR="00000000" w:rsidRPr="00783E84" w:rsidP="00783E84">
            <w:pPr>
              <w:pStyle w:val="BodyText"/>
            </w:pPr>
            <w:r w:rsidRPr="00783E84">
              <w:t>3.7</w:t>
            </w:r>
            <w:r w:rsidRPr="00783E84">
              <w:tab/>
              <w:t>Identify ways case management can contribute to effective inter-sectoral service delive</w:t>
            </w:r>
            <w:r w:rsidRPr="00783E84">
              <w:t xml:space="preserve">ry </w:t>
            </w:r>
          </w:p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3.8</w:t>
            </w:r>
            <w:r w:rsidRPr="00783E84">
              <w:tab/>
              <w:t xml:space="preserve">Identify staff development issues for inter-sectoral workers 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4. Use clinical practices appropriate to social and emotional wellbeing work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>4.1</w:t>
            </w:r>
            <w:r w:rsidRPr="00783E84">
              <w:tab/>
              <w:t xml:space="preserve">Identify clinical practices relevant to social and emotional wellbeing work </w:t>
            </w:r>
          </w:p>
          <w:p w:rsidR="00000000" w:rsidRPr="00783E84" w:rsidP="00783E84">
            <w:pPr>
              <w:pStyle w:val="BodyText"/>
            </w:pPr>
            <w:r w:rsidRPr="00783E84">
              <w:t>4.2</w:t>
            </w:r>
            <w:r w:rsidRPr="00783E84">
              <w:tab/>
              <w:t xml:space="preserve">Clarify the meaning </w:t>
            </w:r>
            <w:r w:rsidRPr="00783E84">
              <w:t>of ‘culturally appropriate manner’ in general and specific cultural contexts</w:t>
            </w:r>
          </w:p>
          <w:p w:rsidR="00000000" w:rsidRPr="00783E84" w:rsidP="00783E84">
            <w:pPr>
              <w:pStyle w:val="BodyText"/>
            </w:pPr>
            <w:r w:rsidRPr="00783E84">
              <w:t>4.3</w:t>
            </w:r>
            <w:r w:rsidRPr="00783E84">
              <w:tab/>
              <w:t>Discuss client treatment with other members of the health care team</w:t>
            </w:r>
          </w:p>
          <w:p w:rsidR="00000000" w:rsidRPr="00783E84" w:rsidP="00783E84">
            <w:pPr>
              <w:pStyle w:val="BodyText"/>
            </w:pPr>
            <w:r w:rsidRPr="00783E84">
              <w:t>4.4</w:t>
            </w:r>
            <w:r w:rsidRPr="00783E84">
              <w:tab/>
              <w:t>Recognise the importance of accurate clinical baseline observations in practice</w:t>
            </w:r>
          </w:p>
          <w:p w:rsidR="00000000" w:rsidRPr="00783E84" w:rsidP="00783E84">
            <w:pPr>
              <w:pStyle w:val="BodyText"/>
            </w:pPr>
            <w:r w:rsidRPr="00783E84">
              <w:t>4.5</w:t>
            </w:r>
            <w:r w:rsidRPr="00783E84">
              <w:tab/>
            </w:r>
            <w:r w:rsidRPr="00783E84">
              <w:t>Take client history in accordance with the needs of the client and the health care setting</w:t>
            </w:r>
          </w:p>
          <w:p w:rsidR="00000000" w:rsidRPr="00783E84" w:rsidP="00783E84">
            <w:pPr>
              <w:pStyle w:val="BodyText"/>
            </w:pPr>
            <w:r w:rsidRPr="00783E84">
              <w:t>4.6</w:t>
            </w:r>
            <w:r w:rsidRPr="00783E84">
              <w:tab/>
              <w:t>Undertake comprehensive reporting in line with organisation requirements</w:t>
            </w:r>
          </w:p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4.7</w:t>
            </w:r>
            <w:r w:rsidRPr="00783E84">
              <w:tab/>
              <w:t>Identify instances where the social and emotional wellbeing worker might advocate fo</w:t>
            </w:r>
            <w:r w:rsidRPr="00783E84">
              <w:t>r a client in accordance with the philosophy of the organisation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 xml:space="preserve">5. Practise social and emotional wellbeing work 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>5.1</w:t>
            </w:r>
            <w:r w:rsidRPr="00783E84">
              <w:tab/>
              <w:t>Use a culturally appropriate manner in all interactions with the client (including active listening, clarifying, probing techniques)</w:t>
            </w:r>
          </w:p>
          <w:p w:rsidR="00000000" w:rsidRPr="00783E84" w:rsidP="00783E84">
            <w:pPr>
              <w:pStyle w:val="BodyText"/>
            </w:pPr>
            <w:r w:rsidRPr="00783E84">
              <w:t>5</w:t>
            </w:r>
            <w:r w:rsidRPr="00783E84">
              <w:t>.2</w:t>
            </w:r>
            <w:r w:rsidRPr="00783E84">
              <w:tab/>
              <w:t>Develop care plans and discuss implementation and evaluation with the health care team</w:t>
            </w:r>
          </w:p>
          <w:p w:rsidR="00000000" w:rsidRPr="00783E84" w:rsidP="00783E84">
            <w:pPr>
              <w:pStyle w:val="BodyText"/>
            </w:pPr>
            <w:r w:rsidRPr="00783E84">
              <w:t>5.3</w:t>
            </w:r>
            <w:r w:rsidRPr="00783E84">
              <w:tab/>
              <w:t>Conduct client interviews, ensuring there is appropriate preparation and consideration given to opening, developing and closing the interview</w:t>
            </w:r>
          </w:p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5.4</w:t>
            </w:r>
            <w:r w:rsidRPr="00783E84">
              <w:tab/>
              <w:t xml:space="preserve">Review existing </w:t>
            </w:r>
            <w:r w:rsidRPr="00783E84">
              <w:t>records to ensure all appropriate information is taken into account when treating a client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t>6. Follow organisation’s occupational health and safety (OH&amp;S) procedures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>6.1</w:t>
            </w:r>
            <w:r w:rsidRPr="00783E84">
              <w:tab/>
              <w:t xml:space="preserve">Consult organisation’s OH&amp;S policy and procedures manual to clarify for a range of </w:t>
            </w:r>
            <w:r w:rsidRPr="00783E84">
              <w:t>situations</w:t>
            </w:r>
          </w:p>
          <w:p w:rsidR="00000000" w:rsidRPr="00783E84" w:rsidP="00783E84">
            <w:pPr>
              <w:pStyle w:val="BodyText"/>
            </w:pPr>
            <w:r w:rsidRPr="00783E84">
              <w:t>6.2</w:t>
            </w:r>
            <w:r w:rsidRPr="00783E84">
              <w:tab/>
              <w:t xml:space="preserve">Clarify and apply procedures for dealing with clients and their relatives who are verbally or physically threatening </w:t>
            </w:r>
          </w:p>
          <w:p w:rsidR="00000000" w:rsidRPr="00783E84" w:rsidP="00783E84">
            <w:pPr>
              <w:pStyle w:val="BodyText"/>
            </w:pPr>
            <w:r w:rsidRPr="00783E84">
              <w:t>6.3</w:t>
            </w:r>
            <w:r w:rsidRPr="00783E84">
              <w:tab/>
              <w:t>Identify and apply organisation OH&amp;S requirements for use in caring for psychotic clients</w:t>
            </w:r>
          </w:p>
          <w:p w:rsidR="00000000" w:rsidRPr="00783E84" w:rsidP="00783E84">
            <w:pPr>
              <w:pStyle w:val="BodyText"/>
            </w:pPr>
            <w:r w:rsidRPr="00783E84">
              <w:t>6.4</w:t>
            </w:r>
            <w:r w:rsidRPr="00783E84">
              <w:tab/>
              <w:t>Ensure responses to clien</w:t>
            </w:r>
            <w:r w:rsidRPr="00783E84">
              <w:t>ts who spit at or bite the worker reflect the appropriate order of priority for maintaining worker safety</w:t>
            </w:r>
          </w:p>
        </w:tc>
      </w:tr>
    </w:tbl>
    <w:p w:rsidR="009104B2" w:rsidP="00783E84">
      <w:pPr>
        <w:pStyle w:val="BodyText"/>
      </w:pPr>
    </w:p>
    <w:p w:rsidR="009104B2" w:rsidP="00783E84">
      <w:pPr>
        <w:pStyle w:val="BodyText"/>
      </w:pPr>
    </w:p>
    <w:p w:rsidR="00000000" w:rsidRPr="00783E84" w:rsidP="00783E84">
      <w:pPr>
        <w:pStyle w:val="Heading1"/>
      </w:pPr>
      <w:bookmarkStart w:id="4" w:name="O_745778"/>
      <w:bookmarkEnd w:id="4"/>
      <w:r w:rsidRPr="00783E8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E84">
            <w:pPr>
              <w:pStyle w:val="BodyText"/>
              <w:rPr>
                <w:lang w:val="en-NZ"/>
              </w:rPr>
            </w:pPr>
            <w:r w:rsidRPr="00783E84">
              <w:rPr>
                <w:rStyle w:val="Emphasis"/>
              </w:rPr>
              <w:t xml:space="preserve">The Foundation Skills describe those required skills (language, literacy, numeracy and </w:t>
            </w:r>
            <w:r w:rsidRPr="00783E84">
              <w:t xml:space="preserve">employment </w:t>
            </w:r>
            <w:r w:rsidRPr="00783E84">
              <w:rPr>
                <w:rStyle w:val="Emphasis"/>
              </w:rPr>
              <w:t>skills) that are essential to performance.</w:t>
            </w:r>
          </w:p>
        </w:tc>
      </w:tr>
      <w:tr w:rsidTr="00783E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E84" w:rsidP="00783E84">
            <w:pPr>
              <w:pStyle w:val="BodyText"/>
            </w:pPr>
            <w:r w:rsidRPr="00783E84">
              <w:t>Foundation skills essential to performance are explicit in the performance criteria of this unit of competency.</w:t>
            </w:r>
          </w:p>
        </w:tc>
      </w:tr>
    </w:tbl>
    <w:p w:rsidR="00000000" w:rsidRPr="00783E84" w:rsidP="00783E84">
      <w:pPr>
        <w:pStyle w:val="BodyText"/>
      </w:pPr>
    </w:p>
    <w:p w:rsidR="00000000" w:rsidRPr="00783E84" w:rsidP="00783E84">
      <w:pPr>
        <w:pStyle w:val="AllowPageBreak"/>
      </w:pPr>
    </w:p>
    <w:p w:rsidR="00000000" w:rsidRPr="00783E84" w:rsidP="00783E84">
      <w:pPr>
        <w:pStyle w:val="Heading1"/>
      </w:pPr>
      <w:bookmarkStart w:id="5" w:name="O_745777"/>
      <w:bookmarkEnd w:id="5"/>
      <w:r w:rsidRPr="00783E84">
        <w:t>Unit Mapping Information</w:t>
      </w:r>
    </w:p>
    <w:p w:rsidR="009104B2" w:rsidP="009104B2">
      <w:pPr>
        <w:pStyle w:val="BodyText"/>
      </w:pPr>
      <w:r w:rsidRPr="00783E84">
        <w:t>No equivalent unit.</w:t>
      </w:r>
    </w:p>
    <w:p w:rsidR="00000000" w:rsidRPr="00783E84" w:rsidP="00783E84">
      <w:pPr>
        <w:pStyle w:val="Heading1"/>
      </w:pPr>
      <w:bookmarkStart w:id="6" w:name="O_745782"/>
      <w:bookmarkEnd w:id="6"/>
      <w:r w:rsidRPr="00783E84">
        <w:t>Links</w:t>
      </w:r>
    </w:p>
    <w:p w:rsidR="00000000" w:rsidRPr="00783E84" w:rsidP="009104B2">
      <w:pPr>
        <w:pStyle w:val="BodyText"/>
      </w:pPr>
      <w:r w:rsidRPr="00783E84">
        <w:t>Companion Vo</w:t>
      </w:r>
      <w:r w:rsidRPr="00783E84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F1EB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83E84" w:rsidP="00783E84"/>
    <w:sectPr w:rsidSect="00783E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84" w:rsidRPr="009104B2" w:rsidP="00910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B2" w:rsidP="00783E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4B2" w:rsidP="00783E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104B2" w:rsidP="00783E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E84" w:rsidRPr="009104B2" w:rsidP="00910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4B2" w:rsidRPr="002D2AF8" w:rsidP="00783E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HLTAHW073 Practise social and emotional wellbeing in a clinical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9104B2" w:rsidP="00783E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F27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AED0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E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E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E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E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E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E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E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E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E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E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E84"/>
  </w:style>
  <w:style w:type="character" w:customStyle="1" w:styleId="Heading1Char">
    <w:name w:val="Heading 1 Char"/>
    <w:basedOn w:val="DefaultParagraphFont"/>
    <w:link w:val="Heading1"/>
    <w:rsid w:val="00783E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E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E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E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E84"/>
    <w:rPr>
      <w:b/>
      <w:spacing w:val="0"/>
    </w:rPr>
  </w:style>
  <w:style w:type="character" w:styleId="Emphasis">
    <w:name w:val="Emphasis"/>
    <w:basedOn w:val="DefaultParagraphFont"/>
    <w:qFormat/>
    <w:rsid w:val="00783E84"/>
    <w:rPr>
      <w:i/>
    </w:rPr>
  </w:style>
  <w:style w:type="paragraph" w:customStyle="1" w:styleId="SuperHeading">
    <w:name w:val="SuperHeading"/>
    <w:basedOn w:val="Normal"/>
    <w:rsid w:val="00783E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E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E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E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E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E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E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E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E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E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E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E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E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E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E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E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E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E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E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E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E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E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E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E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E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E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E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E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E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E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E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E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E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3E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E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E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E84"/>
  </w:style>
  <w:style w:type="paragraph" w:styleId="TableofFigures">
    <w:name w:val="table of figures"/>
    <w:basedOn w:val="Normal"/>
    <w:next w:val="Normal"/>
    <w:semiHidden/>
    <w:rsid w:val="00783E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E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3E84"/>
    <w:rPr>
      <w:rFonts w:ascii="Wingdings" w:hAnsi="Wingdings"/>
    </w:rPr>
  </w:style>
  <w:style w:type="paragraph" w:customStyle="1" w:styleId="TableHeading">
    <w:name w:val="Table Heading"/>
    <w:basedOn w:val="HeadingBase"/>
    <w:rsid w:val="00783E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E84"/>
    <w:rPr>
      <w:color w:val="0033CC"/>
      <w:u w:val="none"/>
    </w:rPr>
  </w:style>
  <w:style w:type="paragraph" w:customStyle="1" w:styleId="BodyTextRight">
    <w:name w:val="Body Text Right"/>
    <w:basedOn w:val="BodyText"/>
    <w:rsid w:val="00783E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E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E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E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E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E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E84"/>
    <w:rPr>
      <w:sz w:val="32"/>
    </w:rPr>
  </w:style>
  <w:style w:type="paragraph" w:customStyle="1" w:styleId="HeadingProcedure">
    <w:name w:val="Heading Procedure"/>
    <w:basedOn w:val="HeadingBase"/>
    <w:next w:val="Normal"/>
    <w:rsid w:val="00783E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E84"/>
    <w:pPr>
      <w:spacing w:before="60" w:after="60"/>
    </w:pPr>
  </w:style>
  <w:style w:type="paragraph" w:styleId="ListContinue">
    <w:name w:val="List Continue"/>
    <w:basedOn w:val="List"/>
    <w:rsid w:val="00783E84"/>
    <w:pPr>
      <w:ind w:firstLine="0"/>
    </w:pPr>
  </w:style>
  <w:style w:type="paragraph" w:customStyle="1" w:styleId="ListNote">
    <w:name w:val="List Note"/>
    <w:basedOn w:val="List"/>
    <w:rsid w:val="00783E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E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E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E84"/>
    <w:rPr>
      <w:rFonts w:ascii="Courier New" w:hAnsi="Courier New"/>
    </w:rPr>
  </w:style>
  <w:style w:type="paragraph" w:customStyle="1" w:styleId="NoteBullet">
    <w:name w:val="Note Bullet"/>
    <w:basedOn w:val="Note"/>
    <w:rsid w:val="00783E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E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E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E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E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E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E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E84"/>
    <w:rPr>
      <w:b/>
      <w:smallCaps/>
    </w:rPr>
  </w:style>
  <w:style w:type="paragraph" w:customStyle="1" w:styleId="TableListNumber">
    <w:name w:val="Table List Number"/>
    <w:basedOn w:val="ListNumber"/>
    <w:rsid w:val="00783E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E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E84"/>
    <w:pPr>
      <w:numPr>
        <w:numId w:val="8"/>
      </w:numPr>
    </w:pPr>
  </w:style>
  <w:style w:type="paragraph" w:customStyle="1" w:styleId="ListAlpha2">
    <w:name w:val="List Alpha 2"/>
    <w:basedOn w:val="List2"/>
    <w:rsid w:val="00783E84"/>
    <w:pPr>
      <w:numPr>
        <w:numId w:val="7"/>
      </w:numPr>
    </w:pPr>
  </w:style>
  <w:style w:type="paragraph" w:styleId="List2">
    <w:name w:val="List 2"/>
    <w:basedOn w:val="BodyText"/>
    <w:rsid w:val="00783E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E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E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E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E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E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E84"/>
    <w:pPr>
      <w:numPr>
        <w:numId w:val="3"/>
      </w:numPr>
    </w:pPr>
  </w:style>
  <w:style w:type="paragraph" w:styleId="ListContinue2">
    <w:name w:val="List Continue 2"/>
    <w:basedOn w:val="List2"/>
    <w:rsid w:val="00783E84"/>
    <w:pPr>
      <w:ind w:firstLine="0"/>
    </w:pPr>
  </w:style>
  <w:style w:type="paragraph" w:styleId="ListContinue3">
    <w:name w:val="List Continue 3"/>
    <w:basedOn w:val="List3"/>
    <w:rsid w:val="00783E84"/>
    <w:pPr>
      <w:ind w:left="1021" w:firstLine="0"/>
    </w:pPr>
  </w:style>
  <w:style w:type="paragraph" w:styleId="ListContinue4">
    <w:name w:val="List Continue 4"/>
    <w:basedOn w:val="List4"/>
    <w:rsid w:val="00783E84"/>
    <w:pPr>
      <w:ind w:firstLine="0"/>
    </w:pPr>
  </w:style>
  <w:style w:type="paragraph" w:styleId="ListContinue5">
    <w:name w:val="List Continue 5"/>
    <w:basedOn w:val="List5"/>
    <w:rsid w:val="00783E84"/>
    <w:pPr>
      <w:ind w:firstLine="0"/>
    </w:pPr>
  </w:style>
  <w:style w:type="paragraph" w:styleId="ListNumber3">
    <w:name w:val="List Number 3"/>
    <w:basedOn w:val="List3"/>
    <w:rsid w:val="00783E84"/>
    <w:pPr>
      <w:numPr>
        <w:numId w:val="4"/>
      </w:numPr>
    </w:pPr>
  </w:style>
  <w:style w:type="paragraph" w:styleId="ListNumber4">
    <w:name w:val="List Number 4"/>
    <w:basedOn w:val="List4"/>
    <w:rsid w:val="00783E84"/>
    <w:pPr>
      <w:numPr>
        <w:numId w:val="5"/>
      </w:numPr>
    </w:pPr>
  </w:style>
  <w:style w:type="paragraph" w:styleId="ListNumber5">
    <w:name w:val="List Number 5"/>
    <w:basedOn w:val="List5"/>
    <w:rsid w:val="00783E84"/>
    <w:pPr>
      <w:numPr>
        <w:numId w:val="6"/>
      </w:numPr>
    </w:pPr>
  </w:style>
  <w:style w:type="paragraph" w:styleId="BlockText">
    <w:name w:val="Block Text"/>
    <w:basedOn w:val="Normal"/>
    <w:rsid w:val="00783E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E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E84"/>
    <w:rPr>
      <w:sz w:val="16"/>
      <w:vertAlign w:val="superscript"/>
    </w:rPr>
  </w:style>
  <w:style w:type="character" w:customStyle="1" w:styleId="Symbols">
    <w:name w:val="Symbols"/>
    <w:basedOn w:val="DefaultParagraphFont"/>
    <w:rsid w:val="00783E84"/>
    <w:rPr>
      <w:rFonts w:ascii="Symbol" w:hAnsi="Symbol"/>
    </w:rPr>
  </w:style>
  <w:style w:type="character" w:customStyle="1" w:styleId="MenuOptions">
    <w:name w:val="Menu Options"/>
    <w:basedOn w:val="DefaultParagraphFont"/>
    <w:rsid w:val="00783E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E84"/>
    <w:rPr>
      <w:b/>
    </w:rPr>
  </w:style>
  <w:style w:type="character" w:customStyle="1" w:styleId="Underlined">
    <w:name w:val="Underlined"/>
    <w:basedOn w:val="DefaultParagraphFont"/>
    <w:rsid w:val="00783E84"/>
    <w:rPr>
      <w:u w:val="single"/>
    </w:rPr>
  </w:style>
  <w:style w:type="paragraph" w:customStyle="1" w:styleId="TableBodyTextRight">
    <w:name w:val="Table Body Text Right"/>
    <w:basedOn w:val="TableBodyText"/>
    <w:rsid w:val="00783E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E84"/>
    <w:rPr>
      <w:sz w:val="18"/>
    </w:rPr>
  </w:style>
  <w:style w:type="paragraph" w:customStyle="1" w:styleId="BodySmallRight">
    <w:name w:val="Body Small Right"/>
    <w:basedOn w:val="BodyTextRight"/>
    <w:rsid w:val="00783E84"/>
    <w:rPr>
      <w:sz w:val="18"/>
      <w:szCs w:val="18"/>
    </w:rPr>
  </w:style>
  <w:style w:type="paragraph" w:customStyle="1" w:styleId="MarginEdition">
    <w:name w:val="Margin Edition"/>
    <w:basedOn w:val="MarginNote"/>
    <w:rsid w:val="00783E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E84"/>
    <w:rPr>
      <w:sz w:val="2"/>
      <w:szCs w:val="2"/>
    </w:rPr>
  </w:style>
  <w:style w:type="character" w:customStyle="1" w:styleId="Small">
    <w:name w:val="Small"/>
    <w:basedOn w:val="DefaultParagraphFont"/>
    <w:rsid w:val="00783E84"/>
    <w:rPr>
      <w:sz w:val="16"/>
    </w:rPr>
  </w:style>
  <w:style w:type="paragraph" w:customStyle="1" w:styleId="WideTable">
    <w:name w:val="Wide Table"/>
    <w:basedOn w:val="Normal"/>
    <w:rsid w:val="00783E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E84"/>
  </w:style>
  <w:style w:type="paragraph" w:styleId="Quote">
    <w:name w:val="Quote"/>
    <w:basedOn w:val="Heading1"/>
    <w:link w:val="QuoteChar"/>
    <w:qFormat/>
    <w:rsid w:val="00783E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E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E84"/>
    <w:pPr>
      <w:pageBreakBefore/>
    </w:pPr>
  </w:style>
  <w:style w:type="paragraph" w:customStyle="1" w:styleId="Border">
    <w:name w:val="Border"/>
    <w:basedOn w:val="Normal"/>
    <w:qFormat/>
    <w:rsid w:val="00783E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E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E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E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E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E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E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E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E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E84"/>
    <w:rPr>
      <w:u w:val="single"/>
    </w:rPr>
  </w:style>
  <w:style w:type="character" w:customStyle="1" w:styleId="BoldandItalics">
    <w:name w:val="Bold and Italics"/>
    <w:qFormat/>
    <w:rsid w:val="00783E84"/>
    <w:rPr>
      <w:b/>
      <w:i/>
      <w:u w:val="none"/>
    </w:rPr>
  </w:style>
  <w:style w:type="paragraph" w:styleId="BalloonText">
    <w:name w:val="Balloon Text"/>
    <w:basedOn w:val="Normal"/>
    <w:link w:val="BalloonTextChar"/>
    <w:rsid w:val="00783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E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E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E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E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E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E84"/>
    <w:pPr>
      <w:spacing w:before="0" w:after="0"/>
    </w:pPr>
  </w:style>
  <w:style w:type="paragraph" w:customStyle="1" w:styleId="BodyTextBold">
    <w:name w:val="Body Text Bold"/>
    <w:basedOn w:val="BodyText"/>
    <w:qFormat/>
    <w:rsid w:val="00783E84"/>
    <w:rPr>
      <w:b/>
    </w:rPr>
  </w:style>
  <w:style w:type="character" w:styleId="Hyperlink">
    <w:name w:val="Hyperlink"/>
    <w:basedOn w:val="DefaultParagraphFont"/>
    <w:uiPriority w:val="99"/>
    <w:unhideWhenUsed/>
    <w:rsid w:val="00910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6014</Characters>
  <Application>Microsoft Office Word</Application>
  <DocSecurity>0</DocSecurity>
  <Lines>187</Lines>
  <Paragraphs>87</Paragraphs>
  <ScaleCrop>false</ScaleCrop>
  <Company>Author-it Software Corporation Ltd.</Company>
  <LinksUpToDate>false</LinksUpToDate>
  <CharactersWithSpaces>6881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HLTAHW073 Practise social and emotional wellbeing in a clinical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2022-11-24T15:06:00Z</dcterms:created>
  <dcterms:modified xsi:type="dcterms:W3CDTF">2022-11-24T15:06:00Z</dcterms:modified>
</cp:coreProperties>
</file>