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726" w:rsidP="00E13726">
      <w:pPr>
        <w:pStyle w:val="Title"/>
      </w:pPr>
      <w:r>
        <w:fldChar w:fldCharType="begin"/>
      </w:r>
      <w:r>
        <w:instrText xml:space="preserve"> TITLE   \* MERGEFORMAT </w:instrText>
      </w:r>
      <w:r>
        <w:fldChar w:fldCharType="separate"/>
      </w:r>
      <w:r>
        <w:t>Assessment Requirements for HLTAHW054 Support renal dialysis clients in the community setting</w:t>
      </w:r>
      <w:r>
        <w:fldChar w:fldCharType="end"/>
      </w:r>
    </w:p>
    <w:p w:rsidR="00E13726" w:rsidP="00E13726">
      <w:pPr>
        <w:pStyle w:val="Version"/>
        <w:sectPr w:rsidSect="007C22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220F" w:rsidP="007C220F">
      <w:pPr>
        <w:pStyle w:val="SuperHeading"/>
      </w:pPr>
      <w:r w:rsidRPr="007C220F">
        <w:t>Assessment Requirements for HLTAHW054 Support renal dialysis clients in the community setting</w:t>
      </w:r>
    </w:p>
    <w:p w:rsidR="00000000" w:rsidRPr="007C220F" w:rsidP="007C220F">
      <w:pPr>
        <w:pStyle w:val="Heading1"/>
      </w:pPr>
      <w:bookmarkStart w:id="1" w:name="O_745507"/>
      <w:bookmarkEnd w:id="1"/>
      <w:r w:rsidRPr="007C220F">
        <w:t>Modification History</w:t>
      </w:r>
    </w:p>
    <w:tbl>
      <w:tblPr>
        <w:tblW w:w="0" w:type="auto"/>
        <w:tblLayout w:type="fixed"/>
        <w:tblCellMar>
          <w:left w:w="62" w:type="dxa"/>
          <w:right w:w="62" w:type="dxa"/>
        </w:tblCellMar>
        <w:tblLook w:val="0000"/>
      </w:tblPr>
      <w:tblGrid>
        <w:gridCol w:w="3060"/>
        <w:gridCol w:w="6074"/>
      </w:tblGrid>
      <w:tr w:rsidTr="007C220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C220F" w:rsidP="007C220F">
            <w:pPr>
              <w:pStyle w:val="BodyText"/>
            </w:pPr>
            <w:r w:rsidRPr="007C220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220F">
            <w:pPr>
              <w:pStyle w:val="BodyText"/>
              <w:rPr>
                <w:lang w:val="en-NZ"/>
              </w:rPr>
            </w:pPr>
            <w:r w:rsidRPr="007C220F">
              <w:rPr>
                <w:rStyle w:val="SpecialBold"/>
              </w:rPr>
              <w:t>Comments</w:t>
            </w:r>
          </w:p>
        </w:tc>
      </w:tr>
      <w:tr w:rsidTr="007C220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220F">
            <w:pPr>
              <w:pStyle w:val="BodyText"/>
              <w:rPr>
                <w:lang w:val="en-NZ"/>
              </w:rPr>
            </w:pPr>
            <w:r w:rsidRPr="007C220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220F" w:rsidP="007C220F">
            <w:pPr>
              <w:pStyle w:val="BodyText"/>
            </w:pPr>
            <w:r w:rsidRPr="007C220F">
              <w:t>Updated:</w:t>
            </w:r>
          </w:p>
          <w:p w:rsidR="00000000" w:rsidRPr="007C220F" w:rsidP="007C220F">
            <w:pPr>
              <w:pStyle w:val="ListBullet"/>
            </w:pPr>
            <w:r w:rsidRPr="007C220F">
              <w:t>assessor requirements statement</w:t>
            </w:r>
          </w:p>
          <w:p w:rsidR="00000000" w:rsidRPr="007C220F" w:rsidP="007C220F">
            <w:pPr>
              <w:pStyle w:val="ListBullet"/>
            </w:pPr>
            <w:r w:rsidRPr="007C220F">
              <w:t>foundation skills lead in statement</w:t>
            </w:r>
          </w:p>
          <w:p w:rsidR="00000000" w:rsidRPr="007C220F" w:rsidP="007C220F">
            <w:pPr>
              <w:pStyle w:val="ListBullet"/>
            </w:pPr>
            <w:r w:rsidRPr="007C220F">
              <w:t>licensing statement</w:t>
            </w:r>
          </w:p>
          <w:p w:rsidR="00000000" w:rsidRPr="007C220F" w:rsidP="007C220F">
            <w:pPr>
              <w:pStyle w:val="ListBullet"/>
            </w:pPr>
            <w:r w:rsidRPr="007C220F">
              <w:t>modification history to reflect 2012 standards</w:t>
            </w:r>
          </w:p>
          <w:p w:rsidR="00000000" w:rsidP="007C220F">
            <w:pPr>
              <w:pStyle w:val="BodyText"/>
              <w:rPr>
                <w:lang w:val="en-NZ"/>
              </w:rPr>
            </w:pPr>
            <w:r w:rsidRPr="007C220F">
              <w:t>Equivalent outcome.</w:t>
            </w:r>
          </w:p>
        </w:tc>
      </w:tr>
      <w:tr w:rsidTr="007C220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220F">
            <w:pPr>
              <w:pStyle w:val="BodyText"/>
              <w:rPr>
                <w:lang w:val="en-NZ"/>
              </w:rPr>
            </w:pPr>
            <w:r w:rsidRPr="007C220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220F" w:rsidP="007C220F">
            <w:pPr>
              <w:pStyle w:val="BodyText"/>
            </w:pPr>
            <w:r w:rsidRPr="007C220F">
              <w:t xml:space="preserve">This version was released in </w:t>
            </w:r>
            <w:r w:rsidRPr="007C220F">
              <w:rPr>
                <w:rStyle w:val="Emphasis"/>
              </w:rPr>
              <w:t>HLT Health Training Package release 1.0</w:t>
            </w:r>
            <w:r w:rsidRPr="007C220F">
              <w:t xml:space="preserve"> and meets the requirements of the 2012 Standards for Training Packages.</w:t>
            </w:r>
          </w:p>
          <w:p w:rsidR="00000000" w:rsidRPr="007C220F" w:rsidP="007C220F">
            <w:pPr>
              <w:pStyle w:val="BodyText"/>
            </w:pPr>
            <w:r w:rsidRPr="007C220F">
              <w:t>Significant changes to elements and performance criteria.</w:t>
            </w:r>
            <w:r w:rsidRPr="007C220F">
              <w:br/>
              <w:t>New evidence requirements for assessment, including volume and environment requirements.</w:t>
            </w:r>
          </w:p>
          <w:p w:rsidR="00000000" w:rsidRPr="007C220F" w:rsidP="007C220F">
            <w:pPr>
              <w:pStyle w:val="BodyText"/>
            </w:pPr>
            <w:r w:rsidRPr="007C220F">
              <w:t>Pre-requisite units removed.</w:t>
            </w:r>
          </w:p>
        </w:tc>
      </w:tr>
    </w:tbl>
    <w:p w:rsidR="00000000" w:rsidRPr="007C220F" w:rsidP="007C220F">
      <w:pPr>
        <w:pStyle w:val="BodyText"/>
      </w:pPr>
    </w:p>
    <w:p w:rsidR="00000000" w:rsidRPr="007C220F" w:rsidP="007C220F">
      <w:pPr>
        <w:pStyle w:val="AllowPageBreak"/>
      </w:pPr>
    </w:p>
    <w:p w:rsidR="00000000" w:rsidRPr="007C220F" w:rsidP="007C220F">
      <w:pPr>
        <w:pStyle w:val="Heading1"/>
      </w:pPr>
      <w:bookmarkStart w:id="2" w:name="O_745506"/>
      <w:bookmarkEnd w:id="2"/>
      <w:r w:rsidRPr="007C220F">
        <w:t>Performance Evidence</w:t>
      </w:r>
    </w:p>
    <w:p w:rsidR="00000000" w:rsidRPr="007C220F" w:rsidP="00E13726">
      <w:pPr>
        <w:pStyle w:val="BodyText"/>
      </w:pPr>
      <w:r w:rsidRPr="007C220F">
        <w:t xml:space="preserve">The candidate must show evidence of the </w:t>
      </w:r>
      <w:r w:rsidRPr="007C220F">
        <w:t xml:space="preserve">ability to complete tasks outlined in elements and performance criteria of this unit, manage tasks and manage contingencies in the context of the job role. </w:t>
      </w:r>
    </w:p>
    <w:p w:rsidR="00000000" w:rsidRPr="007C220F" w:rsidP="00E13726">
      <w:pPr>
        <w:pStyle w:val="BodyText"/>
      </w:pPr>
      <w:r w:rsidRPr="007C220F">
        <w:t>There must be evidence that the candidate has:</w:t>
      </w:r>
    </w:p>
    <w:p w:rsidR="00000000" w:rsidRPr="007C220F" w:rsidP="007C220F">
      <w:pPr>
        <w:pStyle w:val="ListBullet"/>
      </w:pPr>
      <w:r w:rsidRPr="007C220F">
        <w:t>provided information, guidance and support to at le</w:t>
      </w:r>
      <w:r w:rsidRPr="007C220F">
        <w:t>ast three clients and their families in relation to health management options and issues for clients with chronic renal failure by:</w:t>
      </w:r>
    </w:p>
    <w:p w:rsidR="00000000" w:rsidRPr="007C220F" w:rsidP="007C220F">
      <w:pPr>
        <w:pStyle w:val="ListBullet2"/>
      </w:pPr>
      <w:r w:rsidRPr="007C220F">
        <w:t>recognising situations requiring immediate or urgent action</w:t>
      </w:r>
    </w:p>
    <w:p w:rsidR="00000000" w:rsidRPr="007C220F" w:rsidP="007C220F">
      <w:pPr>
        <w:pStyle w:val="ListBullet2"/>
      </w:pPr>
      <w:r w:rsidRPr="007C220F">
        <w:t>working with other members of multidisciplinary team to ensure actions determined in the client’s care plan are carried out and documented</w:t>
      </w:r>
    </w:p>
    <w:p w:rsidR="00000000" w:rsidRPr="007C220F" w:rsidP="007C220F">
      <w:pPr>
        <w:pStyle w:val="ListBullet2"/>
      </w:pPr>
      <w:r w:rsidRPr="007C220F">
        <w:t>carrying out mathematical calculations for renal dialysis clients. This includes:</w:t>
      </w:r>
    </w:p>
    <w:p w:rsidR="00000000" w:rsidRPr="007C220F" w:rsidP="007C220F">
      <w:pPr>
        <w:pStyle w:val="ListBullet3"/>
      </w:pPr>
      <w:r w:rsidRPr="007C220F">
        <w:t>identifying differences between we</w:t>
      </w:r>
      <w:r w:rsidRPr="007C220F">
        <w:t xml:space="preserve">ight measures </w:t>
      </w:r>
    </w:p>
    <w:p w:rsidR="00000000" w:rsidRPr="007C220F" w:rsidP="007C220F">
      <w:pPr>
        <w:pStyle w:val="ListBullet3"/>
      </w:pPr>
      <w:r w:rsidRPr="007C220F">
        <w:t>calculating doses</w:t>
      </w:r>
    </w:p>
    <w:p w:rsidR="00000000" w:rsidRPr="007C220F" w:rsidP="007C220F">
      <w:pPr>
        <w:pStyle w:val="ListBullet3"/>
      </w:pPr>
      <w:r w:rsidRPr="007C220F">
        <w:t>measuring medication</w:t>
      </w:r>
    </w:p>
    <w:p w:rsidR="00000000" w:rsidRPr="007C220F" w:rsidP="007C220F">
      <w:pPr>
        <w:pStyle w:val="ListBullet2"/>
      </w:pPr>
      <w:r w:rsidRPr="007C220F">
        <w:t>communicating effectively with clients, care team and referral agencies. This includes:</w:t>
      </w:r>
    </w:p>
    <w:p w:rsidR="00000000" w:rsidRPr="007C220F" w:rsidP="007C220F">
      <w:pPr>
        <w:pStyle w:val="ListBullet3"/>
      </w:pPr>
      <w:r w:rsidRPr="007C220F">
        <w:t>interpreting test results</w:t>
      </w:r>
    </w:p>
    <w:p w:rsidR="00000000" w:rsidRPr="007C220F" w:rsidP="007C220F">
      <w:pPr>
        <w:pStyle w:val="ListBullet3"/>
      </w:pPr>
      <w:r w:rsidRPr="007C220F">
        <w:t>explaining test results to clients</w:t>
      </w:r>
    </w:p>
    <w:p w:rsidR="00000000" w:rsidRPr="007C220F" w:rsidP="007C220F">
      <w:pPr>
        <w:pStyle w:val="ListBullet3"/>
      </w:pPr>
      <w:r w:rsidRPr="007C220F">
        <w:t>documenting information on client care plans</w:t>
      </w:r>
    </w:p>
    <w:p w:rsidR="00000000" w:rsidRPr="007C220F" w:rsidP="007C220F">
      <w:pPr>
        <w:pStyle w:val="ListBullet2"/>
      </w:pPr>
      <w:r w:rsidRPr="007C220F">
        <w:t>makin</w:t>
      </w:r>
      <w:r w:rsidRPr="007C220F">
        <w:t xml:space="preserve">g timely and appropriate referrals, and providing accurate and relevant details to clients and referral agencies </w:t>
      </w:r>
    </w:p>
    <w:p w:rsidR="00000000" w:rsidRPr="007C220F" w:rsidP="007C220F">
      <w:pPr>
        <w:pStyle w:val="ListBullet2"/>
      </w:pPr>
      <w:r w:rsidRPr="007C220F">
        <w:t>holistically evaluating impact of renal dialysis treatment on client’s physical, mental and emotional condition and behaviour</w:t>
      </w:r>
    </w:p>
    <w:p w:rsidR="00000000" w:rsidRPr="007C220F" w:rsidP="007C220F">
      <w:pPr>
        <w:pStyle w:val="ListBullet2"/>
      </w:pPr>
      <w:r w:rsidRPr="007C220F">
        <w:t>monitoring outco</w:t>
      </w:r>
      <w:r w:rsidRPr="007C220F">
        <w:t>mes of renal dialysis treatment and medication regimes</w:t>
      </w:r>
    </w:p>
    <w:p w:rsidR="00000000" w:rsidRPr="007C220F" w:rsidP="007C220F">
      <w:pPr>
        <w:pStyle w:val="ListBullet2"/>
      </w:pPr>
      <w:r w:rsidRPr="007C220F">
        <w:t>administering medicines by oral and intramuscular routes</w:t>
      </w:r>
    </w:p>
    <w:p w:rsidR="00000000" w:rsidRPr="007C220F" w:rsidP="007C220F">
      <w:pPr>
        <w:pStyle w:val="ListBullet2"/>
      </w:pPr>
      <w:r w:rsidRPr="007C220F">
        <w:t>contributing to evaluation of client’s prescribed treatment/care plan.</w:t>
      </w:r>
    </w:p>
    <w:p w:rsidR="00000000" w:rsidRPr="007C220F" w:rsidP="007C220F">
      <w:pPr>
        <w:pStyle w:val="AllowPageBreak"/>
      </w:pPr>
    </w:p>
    <w:p w:rsidR="00000000" w:rsidRPr="007C220F" w:rsidP="007C220F">
      <w:pPr>
        <w:pStyle w:val="Heading1"/>
      </w:pPr>
      <w:bookmarkStart w:id="3" w:name="O_745505"/>
      <w:bookmarkEnd w:id="3"/>
      <w:r w:rsidRPr="007C220F">
        <w:t>Knowledge Evidence</w:t>
      </w:r>
    </w:p>
    <w:p w:rsidR="00000000" w:rsidRPr="007C220F" w:rsidP="00E13726">
      <w:pPr>
        <w:pStyle w:val="BodyText"/>
      </w:pPr>
      <w:r w:rsidRPr="007C220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C220F" w:rsidP="00E13726">
      <w:pPr>
        <w:pStyle w:val="BodyText"/>
      </w:pPr>
      <w:r w:rsidRPr="007C220F">
        <w:t>This includes</w:t>
      </w:r>
      <w:r w:rsidRPr="007C220F">
        <w:t xml:space="preserve"> knowledge of:</w:t>
      </w:r>
    </w:p>
    <w:p w:rsidR="00000000" w:rsidRPr="007C220F" w:rsidP="007C220F">
      <w:pPr>
        <w:pStyle w:val="ListBullet"/>
      </w:pPr>
      <w:r w:rsidRPr="007C220F">
        <w:t>basic anatomy and physiology of the renal system</w:t>
      </w:r>
    </w:p>
    <w:p w:rsidR="00000000" w:rsidRPr="007C220F" w:rsidP="007C220F">
      <w:pPr>
        <w:pStyle w:val="ListBullet"/>
      </w:pPr>
      <w:r w:rsidRPr="007C220F">
        <w:t xml:space="preserve">common causes of chronic renal failure </w:t>
      </w:r>
    </w:p>
    <w:p w:rsidR="00000000" w:rsidRPr="007C220F" w:rsidP="007C220F">
      <w:pPr>
        <w:pStyle w:val="ListBullet"/>
      </w:pPr>
      <w:r w:rsidRPr="007C220F">
        <w:t>underlying environmental and social factors contributing to high rates of renal disease in Aboriginal and/or Torres Strait Islander communities</w:t>
      </w:r>
    </w:p>
    <w:p w:rsidR="00000000" w:rsidRPr="007C220F" w:rsidP="007C220F">
      <w:pPr>
        <w:pStyle w:val="ListBullet"/>
      </w:pPr>
      <w:r w:rsidRPr="007C220F">
        <w:t>managem</w:t>
      </w:r>
      <w:r w:rsidRPr="007C220F">
        <w:t>ent principles for common co-morbidities (including diabetes, high blood pressure, hyperlipidaemia)</w:t>
      </w:r>
    </w:p>
    <w:p w:rsidR="00000000" w:rsidRPr="007C220F" w:rsidP="007C220F">
      <w:pPr>
        <w:pStyle w:val="ListBullet"/>
      </w:pPr>
      <w:r w:rsidRPr="007C220F">
        <w:t>factors that can slow decline of renal function</w:t>
      </w:r>
    </w:p>
    <w:p w:rsidR="00000000" w:rsidRPr="007C220F" w:rsidP="007C220F">
      <w:pPr>
        <w:pStyle w:val="ListBullet"/>
      </w:pPr>
      <w:r w:rsidRPr="007C220F">
        <w:t>key aspects of microbiology relevant to peritoneal, blood and skin infection in renal disease</w:t>
      </w:r>
    </w:p>
    <w:p w:rsidR="00000000" w:rsidRPr="007C220F" w:rsidP="007C220F">
      <w:pPr>
        <w:pStyle w:val="ListBullet"/>
      </w:pPr>
      <w:r w:rsidRPr="007C220F">
        <w:t>pathophysiolog</w:t>
      </w:r>
      <w:r w:rsidRPr="007C220F">
        <w:t xml:space="preserve">y of chronic renal failure, including: </w:t>
      </w:r>
    </w:p>
    <w:p w:rsidR="00000000" w:rsidRPr="007C220F" w:rsidP="007C220F">
      <w:pPr>
        <w:pStyle w:val="ListBullet2"/>
      </w:pPr>
      <w:r w:rsidRPr="007C220F">
        <w:t>fluid retention and pulmonary oedema</w:t>
      </w:r>
    </w:p>
    <w:p w:rsidR="00000000" w:rsidRPr="007C220F" w:rsidP="007C220F">
      <w:pPr>
        <w:pStyle w:val="ListBullet2"/>
      </w:pPr>
      <w:r w:rsidRPr="007C220F">
        <w:t>electrolyte balance and hazards of high potassium</w:t>
      </w:r>
    </w:p>
    <w:p w:rsidR="00000000" w:rsidRPr="007C220F" w:rsidP="007C220F">
      <w:pPr>
        <w:pStyle w:val="ListBullet2"/>
      </w:pPr>
      <w:r w:rsidRPr="007C220F">
        <w:t>calcium metabolism and renal bone disease</w:t>
      </w:r>
    </w:p>
    <w:p w:rsidR="00000000" w:rsidRPr="007C220F" w:rsidP="007C220F">
      <w:pPr>
        <w:pStyle w:val="ListBullet2"/>
      </w:pPr>
      <w:r w:rsidRPr="007C220F">
        <w:t>anaemia</w:t>
      </w:r>
    </w:p>
    <w:p w:rsidR="00000000" w:rsidRPr="007C220F" w:rsidP="007C220F">
      <w:pPr>
        <w:pStyle w:val="ListBullet"/>
      </w:pPr>
      <w:r w:rsidRPr="007C220F">
        <w:t xml:space="preserve">signs and symptoms of uraemia and fluid retention </w:t>
      </w:r>
    </w:p>
    <w:p w:rsidR="00000000" w:rsidRPr="007C220F" w:rsidP="007C220F">
      <w:pPr>
        <w:pStyle w:val="ListBullet"/>
      </w:pPr>
      <w:r w:rsidRPr="007C220F">
        <w:t>meaning and interpretation of common pathology tests for chronic renal failure and dialysis</w:t>
      </w:r>
    </w:p>
    <w:p w:rsidR="00000000" w:rsidRPr="007C220F" w:rsidP="007C220F">
      <w:pPr>
        <w:pStyle w:val="ListBullet"/>
      </w:pPr>
      <w:r w:rsidRPr="007C220F">
        <w:t>haemodialysis technology – theory, machine components, terminology, infrastructure requirements, risks and benefits</w:t>
      </w:r>
    </w:p>
    <w:p w:rsidR="00000000" w:rsidRPr="007C220F" w:rsidP="007C220F">
      <w:pPr>
        <w:pStyle w:val="ListBullet"/>
      </w:pPr>
      <w:r w:rsidRPr="007C220F">
        <w:t>peritoneal dialysis – theory, terminology, proce</w:t>
      </w:r>
      <w:r w:rsidRPr="007C220F">
        <w:t xml:space="preserve">dures, risks and benefits </w:t>
      </w:r>
    </w:p>
    <w:p w:rsidR="00000000" w:rsidRPr="007C220F" w:rsidP="007C220F">
      <w:pPr>
        <w:pStyle w:val="ListBullet"/>
      </w:pPr>
      <w:r w:rsidRPr="007C220F">
        <w:t xml:space="preserve">different types of renal dialysis units and their function </w:t>
      </w:r>
    </w:p>
    <w:p w:rsidR="00000000" w:rsidRPr="007C220F" w:rsidP="007C220F">
      <w:pPr>
        <w:pStyle w:val="ListBullet"/>
      </w:pPr>
      <w:r w:rsidRPr="007C220F">
        <w:t>nutritional considerations for renal dialysis clients</w:t>
      </w:r>
    </w:p>
    <w:p w:rsidR="00000000" w:rsidRPr="007C220F" w:rsidP="007C220F">
      <w:pPr>
        <w:pStyle w:val="ListBullet"/>
      </w:pPr>
      <w:r w:rsidRPr="007C220F">
        <w:t>medicines in common use in management of chronic renal failure including basic mechanisms of action, precautions an</w:t>
      </w:r>
      <w:r w:rsidRPr="007C220F">
        <w:t>d side-effects</w:t>
      </w:r>
    </w:p>
    <w:p w:rsidR="00000000" w:rsidRPr="007C220F" w:rsidP="007C220F">
      <w:pPr>
        <w:pStyle w:val="ListBullet"/>
      </w:pPr>
      <w:r w:rsidRPr="007C220F">
        <w:t>organisation policies and procedures.</w:t>
      </w:r>
    </w:p>
    <w:p w:rsidR="00000000" w:rsidRPr="007C220F" w:rsidP="007C220F">
      <w:pPr>
        <w:pStyle w:val="AllowPageBreak"/>
      </w:pPr>
    </w:p>
    <w:p w:rsidR="00000000" w:rsidRPr="007C220F" w:rsidP="007C220F">
      <w:pPr>
        <w:pStyle w:val="Heading1"/>
      </w:pPr>
      <w:bookmarkStart w:id="4" w:name="O_745504"/>
      <w:bookmarkEnd w:id="4"/>
      <w:r w:rsidRPr="007C220F">
        <w:t>Assessment Conditions</w:t>
      </w:r>
    </w:p>
    <w:p w:rsidR="00000000" w:rsidRPr="007C220F" w:rsidP="00E13726">
      <w:pPr>
        <w:pStyle w:val="BodyText"/>
      </w:pPr>
      <w:r w:rsidRPr="007C220F">
        <w:t>Skills must be demonstrated working:</w:t>
      </w:r>
    </w:p>
    <w:p w:rsidR="00000000" w:rsidRPr="007C220F" w:rsidP="007C220F">
      <w:pPr>
        <w:pStyle w:val="ListBullet"/>
      </w:pPr>
      <w:r w:rsidRPr="007C220F">
        <w:t>in a health service or centre</w:t>
      </w:r>
    </w:p>
    <w:p w:rsidR="00000000" w:rsidRPr="007C220F" w:rsidP="007C220F">
      <w:pPr>
        <w:pStyle w:val="ListBullet"/>
      </w:pPr>
      <w:r w:rsidRPr="007C220F">
        <w:t xml:space="preserve">individually or as a member of a multidisciplinary primary health care team </w:t>
      </w:r>
    </w:p>
    <w:p w:rsidR="00000000" w:rsidRPr="007C220F" w:rsidP="007C220F">
      <w:pPr>
        <w:pStyle w:val="ListBullet"/>
      </w:pPr>
      <w:r w:rsidRPr="007C220F">
        <w:t xml:space="preserve">with Aboriginal and/or Torres Strait Islander clients and communities. </w:t>
      </w:r>
    </w:p>
    <w:p w:rsidR="00000000" w:rsidRPr="007C220F" w:rsidP="007C220F">
      <w:pPr>
        <w:pStyle w:val="BodyText"/>
      </w:pPr>
    </w:p>
    <w:p w:rsidR="00000000" w:rsidRPr="007C220F" w:rsidP="00E13726">
      <w:pPr>
        <w:pStyle w:val="BodyText"/>
      </w:pPr>
      <w:r w:rsidRPr="007C220F">
        <w:t xml:space="preserve">In addition, simulations and scenarios must be used where the full range of contexts and situations cannot be provided in the workplace or may occur only rarely. These are situations </w:t>
      </w:r>
      <w:r w:rsidRPr="007C220F">
        <w:t xml:space="preserve">relating to emergency or unplanned procedures where assessment in these circumstances would be unsafe or is impractical. </w:t>
      </w:r>
    </w:p>
    <w:p w:rsidR="00000000" w:rsidRPr="007C220F" w:rsidP="00E13726">
      <w:pPr>
        <w:pStyle w:val="BodyText"/>
      </w:pPr>
      <w:r w:rsidRPr="007C220F">
        <w:t>Simulated assessment environments must simulate the real-life working environment where these skills and knowledge would be performed</w:t>
      </w:r>
      <w:r w:rsidRPr="007C220F">
        <w:t>, with all the relevant equipment and resources of that working environment.</w:t>
      </w:r>
    </w:p>
    <w:p w:rsidR="00000000" w:rsidRPr="007C220F" w:rsidP="00E13726">
      <w:pPr>
        <w:pStyle w:val="BodyText"/>
      </w:pPr>
      <w:r w:rsidRPr="007C220F">
        <w:t>Assessors must satisfy the Standards for Registered Training Organisations (RTOs) 2015/AQTF mandatory competency requirements for assessors.</w:t>
      </w:r>
    </w:p>
    <w:p w:rsidR="00000000" w:rsidRPr="007C220F" w:rsidP="00E13726">
      <w:pPr>
        <w:pStyle w:val="BodyText"/>
      </w:pPr>
      <w:r w:rsidRPr="007C220F">
        <w:t xml:space="preserve">Assessment must be undertaken by a </w:t>
      </w:r>
      <w:r w:rsidRPr="007C220F">
        <w:t>workplace assessor who has expertise in this unit of competency and who is:</w:t>
      </w:r>
    </w:p>
    <w:p w:rsidR="00000000" w:rsidRPr="007C220F" w:rsidP="00E13726">
      <w:pPr>
        <w:pStyle w:val="BodyText"/>
      </w:pPr>
      <w:r w:rsidRPr="007C220F">
        <w:t>an Aboriginal and/or Torres Strait Islander Health Worker</w:t>
      </w:r>
      <w:r>
        <w:t xml:space="preserve"> </w:t>
      </w:r>
      <w:r w:rsidRPr="007C220F">
        <w:t>or:</w:t>
      </w:r>
    </w:p>
    <w:p w:rsidR="00000000" w:rsidRPr="007C220F" w:rsidP="007C220F">
      <w:pPr>
        <w:pStyle w:val="ListBullet"/>
      </w:pPr>
      <w:r w:rsidRPr="007C220F">
        <w:t>accompanied by an Aboriginal and/or Torres Strait Islander person who is a recognised member of the community with e</w:t>
      </w:r>
      <w:r w:rsidRPr="007C220F">
        <w:t>xperience in primary health care.</w:t>
      </w:r>
    </w:p>
    <w:p w:rsidR="00000000" w:rsidRPr="007C220F" w:rsidP="007C220F">
      <w:pPr>
        <w:pStyle w:val="AllowPageBreak"/>
      </w:pPr>
    </w:p>
    <w:p w:rsidR="00000000" w:rsidRPr="007C220F" w:rsidP="007C220F">
      <w:pPr>
        <w:pStyle w:val="Heading1"/>
      </w:pPr>
      <w:bookmarkStart w:id="5" w:name="O_745515"/>
      <w:bookmarkEnd w:id="5"/>
      <w:r w:rsidRPr="007C220F">
        <w:t>Links</w:t>
      </w:r>
    </w:p>
    <w:p w:rsidR="00000000" w:rsidRPr="007C220F" w:rsidP="00E13726">
      <w:pPr>
        <w:pStyle w:val="BodyText"/>
      </w:pPr>
      <w:r w:rsidRPr="007C220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418F1">
        <w:rPr>
          <w:rStyle w:val="Hyperlink"/>
        </w:rPr>
        <w:t>https://vetnet.gov.au/Pages/TrainingDocs.aspx?q=ced1390f-48d9-4ab0-bd50-b015e5485705</w:t>
      </w:r>
      <w:r>
        <w:fldChar w:fldCharType="end"/>
      </w:r>
    </w:p>
    <w:p w:rsidR="00000000" w:rsidRPr="007C220F" w:rsidP="007C220F"/>
    <w:sectPr w:rsidSect="007C22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0F" w:rsidRPr="00E13726" w:rsidP="00E137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26" w:rsidP="007C22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3726" w:rsidP="007C220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13726" w:rsidP="007C22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20F" w:rsidRPr="00E13726" w:rsidP="00E137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26" w:rsidRPr="002D2AF8" w:rsidP="007C220F">
    <w:pPr>
      <w:pStyle w:val="Header"/>
      <w:framePr w:wrap="around"/>
    </w:pPr>
    <w:r>
      <w:fldChar w:fldCharType="begin"/>
    </w:r>
    <w:r>
      <w:instrText xml:space="preserve"> TITLE   \* MERGEFORMAT </w:instrText>
    </w:r>
    <w:r>
      <w:fldChar w:fldCharType="separate"/>
    </w:r>
    <w:r>
      <w:t>Assessment Requirements for HLTAHW054 Support renal dialysis clients in the community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E13726" w:rsidP="007C2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2E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7CF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785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20F"/>
    <w:pPr>
      <w:spacing w:before="360" w:after="60"/>
      <w:outlineLvl w:val="0"/>
    </w:pPr>
    <w:rPr>
      <w:sz w:val="32"/>
    </w:rPr>
  </w:style>
  <w:style w:type="paragraph" w:styleId="Heading2">
    <w:name w:val="heading 2"/>
    <w:basedOn w:val="HeadingBase"/>
    <w:next w:val="BodyText"/>
    <w:link w:val="Heading2Char"/>
    <w:qFormat/>
    <w:rsid w:val="007C220F"/>
    <w:pPr>
      <w:keepLines/>
      <w:spacing w:before="240" w:after="120"/>
      <w:outlineLvl w:val="1"/>
    </w:pPr>
    <w:rPr>
      <w:sz w:val="28"/>
      <w:szCs w:val="40"/>
    </w:rPr>
  </w:style>
  <w:style w:type="paragraph" w:styleId="Heading3">
    <w:name w:val="heading 3"/>
    <w:basedOn w:val="HeadingBase"/>
    <w:next w:val="BodyText"/>
    <w:link w:val="Heading3Char"/>
    <w:qFormat/>
    <w:rsid w:val="007C220F"/>
    <w:pPr>
      <w:spacing w:before="180" w:after="120"/>
      <w:outlineLvl w:val="2"/>
    </w:pPr>
    <w:rPr>
      <w:spacing w:val="-10"/>
      <w:kern w:val="32"/>
    </w:rPr>
  </w:style>
  <w:style w:type="paragraph" w:styleId="Heading4">
    <w:name w:val="heading 4"/>
    <w:basedOn w:val="HeadingBase"/>
    <w:next w:val="BodyText"/>
    <w:link w:val="Heading4Char"/>
    <w:qFormat/>
    <w:rsid w:val="007C220F"/>
    <w:pPr>
      <w:spacing w:before="160" w:after="120"/>
      <w:outlineLvl w:val="3"/>
    </w:pPr>
    <w:rPr>
      <w:sz w:val="22"/>
    </w:rPr>
  </w:style>
  <w:style w:type="paragraph" w:styleId="Heading5">
    <w:name w:val="heading 5"/>
    <w:basedOn w:val="HeadingBase"/>
    <w:next w:val="Normal"/>
    <w:link w:val="Heading5Char"/>
    <w:qFormat/>
    <w:rsid w:val="007C220F"/>
    <w:pPr>
      <w:spacing w:before="80"/>
      <w:outlineLvl w:val="4"/>
    </w:pPr>
    <w:rPr>
      <w:color w:val="918585"/>
      <w:sz w:val="20"/>
    </w:rPr>
  </w:style>
  <w:style w:type="paragraph" w:styleId="Heading6">
    <w:name w:val="heading 6"/>
    <w:basedOn w:val="HeadingBase"/>
    <w:next w:val="Normal"/>
    <w:link w:val="Heading6Char"/>
    <w:qFormat/>
    <w:rsid w:val="007C220F"/>
    <w:pPr>
      <w:spacing w:before="60"/>
      <w:outlineLvl w:val="5"/>
    </w:pPr>
    <w:rPr>
      <w:color w:val="918585"/>
      <w:sz w:val="20"/>
    </w:rPr>
  </w:style>
  <w:style w:type="paragraph" w:styleId="Heading7">
    <w:name w:val="heading 7"/>
    <w:basedOn w:val="Normal"/>
    <w:next w:val="Normal"/>
    <w:link w:val="Heading7Char"/>
    <w:qFormat/>
    <w:rsid w:val="007C220F"/>
    <w:pPr>
      <w:ind w:left="720"/>
      <w:outlineLvl w:val="6"/>
    </w:pPr>
    <w:rPr>
      <w:i/>
    </w:rPr>
  </w:style>
  <w:style w:type="paragraph" w:styleId="Heading8">
    <w:name w:val="heading 8"/>
    <w:basedOn w:val="Normal"/>
    <w:next w:val="Normal"/>
    <w:link w:val="Heading8Char"/>
    <w:qFormat/>
    <w:rsid w:val="007C220F"/>
    <w:pPr>
      <w:ind w:left="720"/>
      <w:outlineLvl w:val="7"/>
    </w:pPr>
    <w:rPr>
      <w:i/>
    </w:rPr>
  </w:style>
  <w:style w:type="paragraph" w:styleId="Heading9">
    <w:name w:val="heading 9"/>
    <w:basedOn w:val="Normal"/>
    <w:next w:val="Normal"/>
    <w:link w:val="Heading9Char"/>
    <w:qFormat/>
    <w:rsid w:val="007C220F"/>
    <w:pPr>
      <w:ind w:left="720"/>
      <w:outlineLvl w:val="8"/>
    </w:pPr>
    <w:rPr>
      <w:i/>
    </w:rPr>
  </w:style>
  <w:style w:type="character" w:default="1" w:styleId="DefaultParagraphFont">
    <w:name w:val="Default Paragraph Font"/>
    <w:uiPriority w:val="1"/>
    <w:unhideWhenUsed/>
    <w:rsid w:val="007C2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20F"/>
  </w:style>
  <w:style w:type="character" w:customStyle="1" w:styleId="Heading1Char">
    <w:name w:val="Heading 1 Char"/>
    <w:basedOn w:val="DefaultParagraphFont"/>
    <w:link w:val="Heading1"/>
    <w:rsid w:val="007C220F"/>
    <w:rPr>
      <w:rFonts w:ascii="Times New Roman" w:eastAsia="Times New Roman" w:hAnsi="Times New Roman" w:cs="Times New Roman"/>
      <w:b/>
      <w:sz w:val="32"/>
      <w:szCs w:val="20"/>
      <w:lang w:eastAsia="en-US"/>
    </w:rPr>
  </w:style>
  <w:style w:type="paragraph" w:styleId="BodyText">
    <w:name w:val="Body Text"/>
    <w:basedOn w:val="Normal"/>
    <w:link w:val="BodyTextChar"/>
    <w:rsid w:val="007C22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20F"/>
    <w:rPr>
      <w:rFonts w:ascii="Times New Roman" w:eastAsia="Times New Roman" w:hAnsi="Times New Roman" w:cs="Times New Roman"/>
      <w:sz w:val="24"/>
      <w:lang w:eastAsia="en-US"/>
    </w:rPr>
  </w:style>
  <w:style w:type="paragraph" w:styleId="ListBullet">
    <w:name w:val="List Bullet"/>
    <w:basedOn w:val="List"/>
    <w:rsid w:val="007C220F"/>
    <w:pPr>
      <w:numPr>
        <w:numId w:val="13"/>
      </w:numPr>
      <w:tabs>
        <w:tab w:val="clear" w:pos="340"/>
      </w:tabs>
      <w:spacing w:before="40" w:after="40"/>
    </w:pPr>
  </w:style>
  <w:style w:type="character" w:customStyle="1" w:styleId="SpecialBold">
    <w:name w:val="Special Bold"/>
    <w:basedOn w:val="DefaultParagraphFont"/>
    <w:rsid w:val="007C220F"/>
    <w:rPr>
      <w:b/>
      <w:spacing w:val="0"/>
    </w:rPr>
  </w:style>
  <w:style w:type="paragraph" w:styleId="ListBullet2">
    <w:name w:val="List Bullet 2"/>
    <w:basedOn w:val="List2"/>
    <w:rsid w:val="007C220F"/>
    <w:pPr>
      <w:numPr>
        <w:numId w:val="14"/>
      </w:numPr>
      <w:tabs>
        <w:tab w:val="clear" w:pos="680"/>
      </w:tabs>
    </w:pPr>
  </w:style>
  <w:style w:type="character" w:styleId="Emphasis">
    <w:name w:val="Emphasis"/>
    <w:basedOn w:val="DefaultParagraphFont"/>
    <w:qFormat/>
    <w:rsid w:val="007C220F"/>
    <w:rPr>
      <w:i/>
    </w:rPr>
  </w:style>
  <w:style w:type="paragraph" w:customStyle="1" w:styleId="SuperHeading">
    <w:name w:val="SuperHeading"/>
    <w:basedOn w:val="Normal"/>
    <w:rsid w:val="007C220F"/>
    <w:pPr>
      <w:spacing w:before="240" w:after="120"/>
      <w:outlineLvl w:val="0"/>
    </w:pPr>
    <w:rPr>
      <w:rFonts w:ascii="Times New Roman" w:hAnsi="Times New Roman"/>
      <w:b/>
      <w:sz w:val="32"/>
    </w:rPr>
  </w:style>
  <w:style w:type="paragraph" w:customStyle="1" w:styleId="AllowPageBreak">
    <w:name w:val="AllowPageBreak"/>
    <w:rsid w:val="007C22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220F"/>
    <w:pPr>
      <w:numPr>
        <w:numId w:val="3"/>
      </w:numPr>
      <w:tabs>
        <w:tab w:val="clear" w:pos="1021"/>
      </w:tabs>
      <w:ind w:left="1037" w:hanging="357"/>
    </w:pPr>
  </w:style>
  <w:style w:type="character" w:customStyle="1" w:styleId="Heading2Char">
    <w:name w:val="Heading 2 Char"/>
    <w:basedOn w:val="DefaultParagraphFont"/>
    <w:link w:val="Heading2"/>
    <w:rsid w:val="007C2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20F"/>
    <w:rPr>
      <w:rFonts w:ascii="Courier New" w:eastAsia="Times New Roman" w:hAnsi="Courier New" w:cs="Times New Roman"/>
      <w:i/>
      <w:szCs w:val="20"/>
      <w:lang w:eastAsia="en-US"/>
    </w:rPr>
  </w:style>
  <w:style w:type="paragraph" w:customStyle="1" w:styleId="HeadingBase">
    <w:name w:val="Heading Base"/>
    <w:rsid w:val="007C2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20F"/>
    <w:pPr>
      <w:tabs>
        <w:tab w:val="right" w:leader="dot" w:pos="9072"/>
      </w:tabs>
      <w:ind w:left="567"/>
    </w:pPr>
    <w:rPr>
      <w:szCs w:val="22"/>
    </w:rPr>
  </w:style>
  <w:style w:type="paragraph" w:customStyle="1" w:styleId="TOCBase">
    <w:name w:val="TOC Base"/>
    <w:rsid w:val="007C2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20F"/>
    <w:pPr>
      <w:tabs>
        <w:tab w:val="right" w:leader="dot" w:pos="9072"/>
      </w:tabs>
      <w:spacing w:before="40" w:after="40"/>
      <w:ind w:left="284"/>
    </w:pPr>
    <w:rPr>
      <w:rFonts w:ascii="Times New Roman" w:hAnsi="Times New Roman"/>
    </w:rPr>
  </w:style>
  <w:style w:type="paragraph" w:styleId="TOC1">
    <w:name w:val="toc 1"/>
    <w:basedOn w:val="TOCBase"/>
    <w:next w:val="Normal"/>
    <w:rsid w:val="007C22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20F"/>
    <w:rPr>
      <w:rFonts w:ascii="Times New Roman" w:eastAsia="Times New Roman" w:hAnsi="Times New Roman" w:cs="Times New Roman"/>
      <w:sz w:val="16"/>
      <w:lang w:eastAsia="en-US"/>
    </w:rPr>
  </w:style>
  <w:style w:type="paragraph" w:styleId="Title">
    <w:name w:val="Title"/>
    <w:basedOn w:val="HeadingBase"/>
    <w:link w:val="TitleChar"/>
    <w:qFormat/>
    <w:rsid w:val="007C220F"/>
    <w:pPr>
      <w:spacing w:before="5040"/>
      <w:jc w:val="center"/>
    </w:pPr>
    <w:rPr>
      <w:sz w:val="48"/>
      <w:szCs w:val="72"/>
      <w:lang w:val="en-US"/>
    </w:rPr>
  </w:style>
  <w:style w:type="character" w:customStyle="1" w:styleId="TitleChar">
    <w:name w:val="Title Char"/>
    <w:basedOn w:val="DefaultParagraphFont"/>
    <w:link w:val="Title"/>
    <w:rsid w:val="007C2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20F"/>
    <w:pPr>
      <w:tabs>
        <w:tab w:val="left" w:pos="3600"/>
        <w:tab w:val="left" w:pos="3958"/>
      </w:tabs>
    </w:pPr>
  </w:style>
  <w:style w:type="paragraph" w:styleId="List">
    <w:name w:val="List"/>
    <w:basedOn w:val="BodyText"/>
    <w:next w:val="BodyText"/>
    <w:rsid w:val="007C220F"/>
    <w:pPr>
      <w:tabs>
        <w:tab w:val="left" w:pos="340"/>
      </w:tabs>
      <w:spacing w:before="60" w:after="60"/>
      <w:ind w:left="340" w:hanging="340"/>
    </w:pPr>
  </w:style>
  <w:style w:type="paragraph" w:customStyle="1" w:styleId="Note">
    <w:name w:val="Note"/>
    <w:basedOn w:val="BodyText"/>
    <w:rsid w:val="007C22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20F"/>
    <w:pPr>
      <w:framePr w:wrap="auto" w:hAnchor="text" w:y="6049"/>
    </w:pPr>
    <w:rPr>
      <w:color w:val="000000"/>
      <w:sz w:val="40"/>
    </w:rPr>
  </w:style>
  <w:style w:type="paragraph" w:customStyle="1" w:styleId="TOCTitle">
    <w:name w:val="TOCTitle"/>
    <w:basedOn w:val="Heading1"/>
    <w:rsid w:val="007C220F"/>
    <w:pPr>
      <w:spacing w:after="240"/>
      <w:jc w:val="center"/>
      <w:outlineLvl w:val="9"/>
    </w:pPr>
    <w:rPr>
      <w:caps/>
    </w:rPr>
  </w:style>
  <w:style w:type="paragraph" w:customStyle="1" w:styleId="Version">
    <w:name w:val="Version"/>
    <w:rsid w:val="007C22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20F"/>
    <w:pPr>
      <w:keepNext w:val="0"/>
      <w:tabs>
        <w:tab w:val="right" w:pos="4176"/>
      </w:tabs>
      <w:ind w:left="198" w:hanging="198"/>
    </w:pPr>
    <w:rPr>
      <w:rFonts w:ascii="Garamond" w:hAnsi="Garamond"/>
    </w:rPr>
  </w:style>
  <w:style w:type="paragraph" w:styleId="IndexHeading">
    <w:name w:val="index heading"/>
    <w:basedOn w:val="Normal"/>
    <w:next w:val="Index1"/>
    <w:semiHidden/>
    <w:rsid w:val="007C220F"/>
    <w:pPr>
      <w:spacing w:before="120" w:after="120"/>
    </w:pPr>
    <w:rPr>
      <w:rFonts w:ascii="Arial" w:hAnsi="Arial"/>
      <w:b/>
      <w:color w:val="918585"/>
      <w:sz w:val="24"/>
    </w:rPr>
  </w:style>
  <w:style w:type="paragraph" w:styleId="Header">
    <w:name w:val="header"/>
    <w:basedOn w:val="Normal"/>
    <w:link w:val="HeaderChar"/>
    <w:rsid w:val="007C2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20F"/>
    <w:rPr>
      <w:rFonts w:ascii="Times New Roman" w:eastAsia="Times New Roman" w:hAnsi="Times New Roman" w:cs="Times New Roman"/>
      <w:sz w:val="16"/>
      <w:szCs w:val="20"/>
      <w:lang w:val="en-GB" w:eastAsia="en-US"/>
    </w:rPr>
  </w:style>
  <w:style w:type="paragraph" w:customStyle="1" w:styleId="Chapter">
    <w:name w:val="Chapter"/>
    <w:basedOn w:val="Normal"/>
    <w:rsid w:val="007C220F"/>
    <w:pPr>
      <w:spacing w:before="240"/>
    </w:pPr>
    <w:rPr>
      <w:rFonts w:ascii="Times New Roman" w:hAnsi="Times New Roman"/>
      <w:smallCaps/>
      <w:spacing w:val="80"/>
      <w:sz w:val="28"/>
    </w:rPr>
  </w:style>
  <w:style w:type="paragraph" w:customStyle="1" w:styleId="InChapter">
    <w:name w:val="InChapter"/>
    <w:basedOn w:val="Heading3"/>
    <w:rsid w:val="007C220F"/>
    <w:pPr>
      <w:spacing w:after="240"/>
      <w:outlineLvl w:val="9"/>
    </w:pPr>
    <w:rPr>
      <w:noProof/>
    </w:rPr>
  </w:style>
  <w:style w:type="paragraph" w:styleId="Index2">
    <w:name w:val="index 2"/>
    <w:basedOn w:val="Normal"/>
    <w:next w:val="Normal"/>
    <w:semiHidden/>
    <w:rsid w:val="007C220F"/>
    <w:pPr>
      <w:tabs>
        <w:tab w:val="right" w:pos="4176"/>
      </w:tabs>
      <w:ind w:left="568" w:hanging="284"/>
    </w:pPr>
    <w:rPr>
      <w:rFonts w:ascii="Garamond" w:hAnsi="Garamond"/>
    </w:rPr>
  </w:style>
  <w:style w:type="paragraph" w:customStyle="1" w:styleId="Byline">
    <w:name w:val="Byline"/>
    <w:rsid w:val="007C2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20F"/>
    <w:pPr>
      <w:tabs>
        <w:tab w:val="clear" w:pos="3600"/>
        <w:tab w:val="clear" w:pos="3958"/>
      </w:tabs>
      <w:jc w:val="right"/>
    </w:pPr>
  </w:style>
  <w:style w:type="paragraph" w:styleId="Caption">
    <w:name w:val="caption"/>
    <w:basedOn w:val="BodyText"/>
    <w:next w:val="Normal"/>
    <w:qFormat/>
    <w:rsid w:val="007C220F"/>
    <w:pPr>
      <w:framePr w:w="2268" w:hSpace="181" w:vSpace="181" w:wrap="around" w:vAnchor="text" w:hAnchor="page" w:x="1135" w:y="285" w:anchorLock="1"/>
    </w:pPr>
    <w:rPr>
      <w:i/>
    </w:rPr>
  </w:style>
  <w:style w:type="paragraph" w:customStyle="1" w:styleId="MiniTOCTitle">
    <w:name w:val="MiniTOCTitle"/>
    <w:basedOn w:val="Heading4"/>
    <w:rsid w:val="007C220F"/>
    <w:pPr>
      <w:spacing w:before="240"/>
      <w:outlineLvl w:val="9"/>
    </w:pPr>
    <w:rPr>
      <w:noProof/>
      <w:sz w:val="24"/>
    </w:rPr>
  </w:style>
  <w:style w:type="paragraph" w:customStyle="1" w:styleId="MiniTOCItem">
    <w:name w:val="MiniTOCItem"/>
    <w:basedOn w:val="ListBullet"/>
    <w:rsid w:val="007C220F"/>
    <w:pPr>
      <w:numPr>
        <w:numId w:val="0"/>
      </w:numPr>
      <w:tabs>
        <w:tab w:val="right" w:leader="dot" w:pos="6521"/>
      </w:tabs>
      <w:spacing w:before="0" w:after="0"/>
    </w:pPr>
  </w:style>
  <w:style w:type="paragraph" w:customStyle="1" w:styleId="TOFTitle">
    <w:name w:val="TOFTitle"/>
    <w:basedOn w:val="TOCTitle"/>
    <w:rsid w:val="007C220F"/>
  </w:style>
  <w:style w:type="paragraph" w:styleId="TableofFigures">
    <w:name w:val="table of figures"/>
    <w:basedOn w:val="Normal"/>
    <w:next w:val="Normal"/>
    <w:semiHidden/>
    <w:rsid w:val="007C220F"/>
    <w:pPr>
      <w:tabs>
        <w:tab w:val="right" w:leader="dot" w:pos="9072"/>
      </w:tabs>
      <w:ind w:left="970" w:hanging="403"/>
    </w:pPr>
    <w:rPr>
      <w:rFonts w:ascii="Times New Roman" w:hAnsi="Times New Roman"/>
      <w:b/>
    </w:rPr>
  </w:style>
  <w:style w:type="paragraph" w:styleId="ListNumber">
    <w:name w:val="List Number"/>
    <w:basedOn w:val="List"/>
    <w:rsid w:val="007C220F"/>
    <w:pPr>
      <w:numPr>
        <w:numId w:val="16"/>
      </w:numPr>
      <w:tabs>
        <w:tab w:val="clear" w:pos="340"/>
      </w:tabs>
    </w:pPr>
  </w:style>
  <w:style w:type="character" w:customStyle="1" w:styleId="WingdingSymbols">
    <w:name w:val="Wingding Symbols"/>
    <w:rsid w:val="007C220F"/>
    <w:rPr>
      <w:rFonts w:ascii="Wingdings" w:hAnsi="Wingdings"/>
    </w:rPr>
  </w:style>
  <w:style w:type="paragraph" w:customStyle="1" w:styleId="TableHeading">
    <w:name w:val="Table Heading"/>
    <w:basedOn w:val="HeadingBase"/>
    <w:rsid w:val="007C220F"/>
    <w:pPr>
      <w:keepLines/>
      <w:pBdr>
        <w:bottom w:val="single" w:sz="6" w:space="1" w:color="918585"/>
      </w:pBdr>
      <w:spacing w:before="240"/>
    </w:pPr>
  </w:style>
  <w:style w:type="character" w:customStyle="1" w:styleId="HotSpot">
    <w:name w:val="HotSpot"/>
    <w:rsid w:val="007C220F"/>
    <w:rPr>
      <w:color w:val="0033CC"/>
      <w:u w:val="none"/>
    </w:rPr>
  </w:style>
  <w:style w:type="paragraph" w:customStyle="1" w:styleId="BodyTextRight">
    <w:name w:val="Body Text Right"/>
    <w:basedOn w:val="BodyText"/>
    <w:rsid w:val="007C220F"/>
    <w:pPr>
      <w:spacing w:before="0" w:after="0"/>
      <w:jc w:val="right"/>
    </w:pPr>
  </w:style>
  <w:style w:type="paragraph" w:styleId="Index3">
    <w:name w:val="index 3"/>
    <w:basedOn w:val="ListNumber2"/>
    <w:next w:val="Normal"/>
    <w:semiHidden/>
    <w:rsid w:val="007C220F"/>
    <w:pPr>
      <w:numPr>
        <w:numId w:val="0"/>
      </w:numPr>
      <w:tabs>
        <w:tab w:val="right" w:leader="dot" w:pos="4176"/>
      </w:tabs>
    </w:pPr>
  </w:style>
  <w:style w:type="paragraph" w:styleId="ListNumber2">
    <w:name w:val="List Number 2"/>
    <w:basedOn w:val="List2"/>
    <w:rsid w:val="007C220F"/>
    <w:pPr>
      <w:numPr>
        <w:numId w:val="11"/>
      </w:numPr>
      <w:tabs>
        <w:tab w:val="clear" w:pos="1060"/>
      </w:tabs>
    </w:pPr>
  </w:style>
  <w:style w:type="paragraph" w:customStyle="1" w:styleId="MarginNote">
    <w:name w:val="Margin Note"/>
    <w:basedOn w:val="BodyText"/>
    <w:rsid w:val="007C2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20F"/>
    <w:rPr>
      <w:sz w:val="32"/>
    </w:rPr>
  </w:style>
  <w:style w:type="paragraph" w:customStyle="1" w:styleId="HeadingProcedure">
    <w:name w:val="Heading Procedure"/>
    <w:basedOn w:val="HeadingBase"/>
    <w:next w:val="Normal"/>
    <w:rsid w:val="007C220F"/>
    <w:pPr>
      <w:tabs>
        <w:tab w:val="left" w:pos="0"/>
      </w:tabs>
      <w:spacing w:before="120" w:after="60"/>
    </w:pPr>
    <w:rPr>
      <w:i/>
      <w:color w:val="918585"/>
      <w:sz w:val="22"/>
    </w:rPr>
  </w:style>
  <w:style w:type="paragraph" w:customStyle="1" w:styleId="TableBodyText">
    <w:name w:val="Table Body Text"/>
    <w:basedOn w:val="BodyText"/>
    <w:rsid w:val="007C220F"/>
    <w:pPr>
      <w:spacing w:before="60" w:after="60"/>
    </w:pPr>
  </w:style>
  <w:style w:type="paragraph" w:styleId="ListContinue">
    <w:name w:val="List Continue"/>
    <w:basedOn w:val="List"/>
    <w:rsid w:val="007C220F"/>
    <w:pPr>
      <w:ind w:firstLine="0"/>
    </w:pPr>
  </w:style>
  <w:style w:type="paragraph" w:customStyle="1" w:styleId="ListNote">
    <w:name w:val="List Note"/>
    <w:basedOn w:val="List"/>
    <w:rsid w:val="007C220F"/>
    <w:pPr>
      <w:pBdr>
        <w:top w:val="single" w:sz="6" w:space="2" w:color="918585"/>
        <w:bottom w:val="single" w:sz="6" w:space="2" w:color="918585"/>
      </w:pBdr>
      <w:tabs>
        <w:tab w:val="left" w:pos="1021"/>
      </w:tabs>
      <w:ind w:firstLine="0"/>
    </w:pPr>
  </w:style>
  <w:style w:type="paragraph" w:customStyle="1" w:styleId="Warning">
    <w:name w:val="Warning"/>
    <w:basedOn w:val="BodyText"/>
    <w:rsid w:val="007C220F"/>
    <w:pPr>
      <w:shd w:val="clear" w:color="auto" w:fill="D9D9D9"/>
      <w:tabs>
        <w:tab w:val="left" w:pos="992"/>
      </w:tabs>
      <w:ind w:left="119" w:right="119"/>
    </w:pPr>
    <w:rPr>
      <w:sz w:val="20"/>
    </w:rPr>
  </w:style>
  <w:style w:type="paragraph" w:customStyle="1" w:styleId="MarginIcons">
    <w:name w:val="Margin Icons"/>
    <w:basedOn w:val="BodyText"/>
    <w:rsid w:val="007C2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20F"/>
    <w:rPr>
      <w:rFonts w:ascii="Courier New" w:hAnsi="Courier New"/>
    </w:rPr>
  </w:style>
  <w:style w:type="paragraph" w:customStyle="1" w:styleId="NoteBullet">
    <w:name w:val="Note Bullet"/>
    <w:basedOn w:val="Note"/>
    <w:rsid w:val="007C220F"/>
    <w:pPr>
      <w:tabs>
        <w:tab w:val="clear" w:pos="680"/>
      </w:tabs>
      <w:spacing w:before="60" w:after="60"/>
    </w:pPr>
  </w:style>
  <w:style w:type="paragraph" w:customStyle="1" w:styleId="SubHeading2">
    <w:name w:val="SubHeading2"/>
    <w:basedOn w:val="HeadingBase"/>
    <w:rsid w:val="007C220F"/>
    <w:pPr>
      <w:spacing w:before="240" w:after="60"/>
    </w:pPr>
    <w:rPr>
      <w:sz w:val="20"/>
    </w:rPr>
  </w:style>
  <w:style w:type="paragraph" w:customStyle="1" w:styleId="SubHeading1">
    <w:name w:val="SubHeading1"/>
    <w:basedOn w:val="HeadingBase"/>
    <w:rsid w:val="007C220F"/>
    <w:pPr>
      <w:spacing w:before="240" w:after="60"/>
    </w:pPr>
    <w:rPr>
      <w:color w:val="918585"/>
      <w:sz w:val="22"/>
    </w:rPr>
  </w:style>
  <w:style w:type="paragraph" w:customStyle="1" w:styleId="SideHeading">
    <w:name w:val="Side Heading"/>
    <w:basedOn w:val="HeadingBase"/>
    <w:rsid w:val="007C2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20F"/>
    <w:pPr>
      <w:numPr>
        <w:numId w:val="12"/>
      </w:numPr>
    </w:pPr>
  </w:style>
  <w:style w:type="paragraph" w:styleId="PlainText">
    <w:name w:val="Plain Text"/>
    <w:basedOn w:val="Normal"/>
    <w:link w:val="PlainTextChar"/>
    <w:rsid w:val="007C220F"/>
    <w:rPr>
      <w:sz w:val="20"/>
    </w:rPr>
  </w:style>
  <w:style w:type="character" w:customStyle="1" w:styleId="PlainTextChar">
    <w:name w:val="Plain Text Char"/>
    <w:basedOn w:val="DefaultParagraphFont"/>
    <w:link w:val="PlainText"/>
    <w:rsid w:val="007C220F"/>
    <w:rPr>
      <w:rFonts w:ascii="Courier New" w:eastAsia="Times New Roman" w:hAnsi="Courier New" w:cs="Times New Roman"/>
      <w:sz w:val="20"/>
      <w:szCs w:val="20"/>
      <w:lang w:eastAsia="en-US"/>
    </w:rPr>
  </w:style>
  <w:style w:type="character" w:customStyle="1" w:styleId="MenuOption">
    <w:name w:val="Menu Option"/>
    <w:basedOn w:val="DefaultParagraphFont"/>
    <w:rsid w:val="007C220F"/>
    <w:rPr>
      <w:b/>
      <w:smallCaps/>
    </w:rPr>
  </w:style>
  <w:style w:type="paragraph" w:customStyle="1" w:styleId="TableListNumber">
    <w:name w:val="Table List Number"/>
    <w:basedOn w:val="ListNumber"/>
    <w:rsid w:val="007C220F"/>
    <w:pPr>
      <w:numPr>
        <w:numId w:val="0"/>
      </w:numPr>
    </w:pPr>
  </w:style>
  <w:style w:type="paragraph" w:styleId="TOC4">
    <w:name w:val="toc 4"/>
    <w:basedOn w:val="TOCBase"/>
    <w:next w:val="Normal"/>
    <w:semiHidden/>
    <w:rsid w:val="007C220F"/>
    <w:pPr>
      <w:tabs>
        <w:tab w:val="right" w:leader="dot" w:pos="9071"/>
      </w:tabs>
      <w:ind w:left="1701"/>
    </w:pPr>
  </w:style>
  <w:style w:type="paragraph" w:customStyle="1" w:styleId="ListAlpha">
    <w:name w:val="List Alpha"/>
    <w:basedOn w:val="List"/>
    <w:rsid w:val="007C220F"/>
    <w:pPr>
      <w:numPr>
        <w:numId w:val="10"/>
      </w:numPr>
    </w:pPr>
  </w:style>
  <w:style w:type="paragraph" w:customStyle="1" w:styleId="ListAlpha2">
    <w:name w:val="List Alpha 2"/>
    <w:basedOn w:val="List2"/>
    <w:rsid w:val="007C220F"/>
    <w:pPr>
      <w:numPr>
        <w:numId w:val="9"/>
      </w:numPr>
    </w:pPr>
  </w:style>
  <w:style w:type="paragraph" w:styleId="List2">
    <w:name w:val="List 2"/>
    <w:basedOn w:val="BodyText"/>
    <w:rsid w:val="007C220F"/>
    <w:pPr>
      <w:tabs>
        <w:tab w:val="left" w:pos="680"/>
      </w:tabs>
      <w:spacing w:before="60" w:after="60"/>
      <w:ind w:left="680" w:hanging="340"/>
    </w:pPr>
  </w:style>
  <w:style w:type="paragraph" w:styleId="List3">
    <w:name w:val="List 3"/>
    <w:basedOn w:val="BodyText"/>
    <w:rsid w:val="007C220F"/>
    <w:pPr>
      <w:tabs>
        <w:tab w:val="left" w:pos="1021"/>
      </w:tabs>
      <w:spacing w:before="60" w:after="60"/>
      <w:ind w:left="1020" w:hanging="340"/>
    </w:pPr>
  </w:style>
  <w:style w:type="paragraph" w:styleId="List4">
    <w:name w:val="List 4"/>
    <w:basedOn w:val="BodyText"/>
    <w:rsid w:val="007C220F"/>
    <w:pPr>
      <w:tabs>
        <w:tab w:val="left" w:pos="1361"/>
      </w:tabs>
      <w:spacing w:before="60" w:after="60"/>
      <w:ind w:left="1361" w:hanging="340"/>
    </w:pPr>
  </w:style>
  <w:style w:type="paragraph" w:styleId="List5">
    <w:name w:val="List 5"/>
    <w:basedOn w:val="BodyText"/>
    <w:rsid w:val="007C220F"/>
    <w:pPr>
      <w:tabs>
        <w:tab w:val="left" w:pos="1701"/>
      </w:tabs>
      <w:spacing w:before="60" w:after="60"/>
      <w:ind w:left="1701" w:hanging="340"/>
    </w:pPr>
  </w:style>
  <w:style w:type="paragraph" w:styleId="ListBullet4">
    <w:name w:val="List Bullet 4"/>
    <w:basedOn w:val="List4"/>
    <w:rsid w:val="007C220F"/>
    <w:pPr>
      <w:numPr>
        <w:numId w:val="4"/>
      </w:numPr>
      <w:tabs>
        <w:tab w:val="clear" w:pos="1361"/>
      </w:tabs>
    </w:pPr>
  </w:style>
  <w:style w:type="paragraph" w:styleId="ListBullet5">
    <w:name w:val="List Bullet 5"/>
    <w:basedOn w:val="List5"/>
    <w:rsid w:val="007C220F"/>
    <w:pPr>
      <w:numPr>
        <w:numId w:val="5"/>
      </w:numPr>
    </w:pPr>
  </w:style>
  <w:style w:type="paragraph" w:styleId="ListContinue2">
    <w:name w:val="List Continue 2"/>
    <w:basedOn w:val="List2"/>
    <w:rsid w:val="007C220F"/>
    <w:pPr>
      <w:ind w:firstLine="0"/>
    </w:pPr>
  </w:style>
  <w:style w:type="paragraph" w:styleId="ListContinue3">
    <w:name w:val="List Continue 3"/>
    <w:basedOn w:val="List3"/>
    <w:rsid w:val="007C220F"/>
    <w:pPr>
      <w:ind w:left="1021" w:firstLine="0"/>
    </w:pPr>
  </w:style>
  <w:style w:type="paragraph" w:styleId="ListContinue4">
    <w:name w:val="List Continue 4"/>
    <w:basedOn w:val="List4"/>
    <w:rsid w:val="007C220F"/>
    <w:pPr>
      <w:ind w:firstLine="0"/>
    </w:pPr>
  </w:style>
  <w:style w:type="paragraph" w:styleId="ListContinue5">
    <w:name w:val="List Continue 5"/>
    <w:basedOn w:val="List5"/>
    <w:rsid w:val="007C220F"/>
    <w:pPr>
      <w:ind w:firstLine="0"/>
    </w:pPr>
  </w:style>
  <w:style w:type="paragraph" w:styleId="ListNumber3">
    <w:name w:val="List Number 3"/>
    <w:basedOn w:val="List3"/>
    <w:rsid w:val="007C220F"/>
    <w:pPr>
      <w:numPr>
        <w:numId w:val="6"/>
      </w:numPr>
    </w:pPr>
  </w:style>
  <w:style w:type="paragraph" w:styleId="ListNumber4">
    <w:name w:val="List Number 4"/>
    <w:basedOn w:val="List4"/>
    <w:rsid w:val="007C220F"/>
    <w:pPr>
      <w:numPr>
        <w:numId w:val="7"/>
      </w:numPr>
    </w:pPr>
  </w:style>
  <w:style w:type="paragraph" w:styleId="ListNumber5">
    <w:name w:val="List Number 5"/>
    <w:basedOn w:val="List5"/>
    <w:rsid w:val="007C220F"/>
    <w:pPr>
      <w:numPr>
        <w:numId w:val="8"/>
      </w:numPr>
    </w:pPr>
  </w:style>
  <w:style w:type="paragraph" w:styleId="BlockText">
    <w:name w:val="Block Text"/>
    <w:basedOn w:val="Normal"/>
    <w:rsid w:val="007C220F"/>
    <w:pPr>
      <w:spacing w:after="120"/>
      <w:ind w:left="1440" w:right="1440"/>
    </w:pPr>
  </w:style>
  <w:style w:type="character" w:customStyle="1" w:styleId="Subscript">
    <w:name w:val="Subscript"/>
    <w:basedOn w:val="DefaultParagraphFont"/>
    <w:rsid w:val="007C220F"/>
    <w:rPr>
      <w:sz w:val="16"/>
      <w:vertAlign w:val="subscript"/>
    </w:rPr>
  </w:style>
  <w:style w:type="character" w:customStyle="1" w:styleId="Superscript">
    <w:name w:val="Superscript"/>
    <w:basedOn w:val="DefaultParagraphFont"/>
    <w:rsid w:val="007C220F"/>
    <w:rPr>
      <w:sz w:val="16"/>
      <w:vertAlign w:val="superscript"/>
    </w:rPr>
  </w:style>
  <w:style w:type="character" w:customStyle="1" w:styleId="Symbols">
    <w:name w:val="Symbols"/>
    <w:basedOn w:val="DefaultParagraphFont"/>
    <w:rsid w:val="007C220F"/>
    <w:rPr>
      <w:rFonts w:ascii="Symbol" w:hAnsi="Symbol"/>
    </w:rPr>
  </w:style>
  <w:style w:type="character" w:customStyle="1" w:styleId="MenuOptions">
    <w:name w:val="Menu Options"/>
    <w:basedOn w:val="DefaultParagraphFont"/>
    <w:rsid w:val="007C220F"/>
    <w:rPr>
      <w:rFonts w:ascii="Arial Narrow" w:hAnsi="Arial Narrow"/>
      <w:smallCaps/>
    </w:rPr>
  </w:style>
  <w:style w:type="character" w:customStyle="1" w:styleId="Buttons">
    <w:name w:val="Buttons"/>
    <w:basedOn w:val="DefaultParagraphFont"/>
    <w:rsid w:val="007C220F"/>
    <w:rPr>
      <w:b/>
    </w:rPr>
  </w:style>
  <w:style w:type="character" w:customStyle="1" w:styleId="Underlined">
    <w:name w:val="Underlined"/>
    <w:basedOn w:val="DefaultParagraphFont"/>
    <w:rsid w:val="007C220F"/>
    <w:rPr>
      <w:u w:val="single"/>
    </w:rPr>
  </w:style>
  <w:style w:type="paragraph" w:customStyle="1" w:styleId="TableBodyTextRight">
    <w:name w:val="Table Body Text Right"/>
    <w:basedOn w:val="TableBodyText"/>
    <w:rsid w:val="007C220F"/>
    <w:pPr>
      <w:widowControl w:val="0"/>
      <w:autoSpaceDE w:val="0"/>
      <w:autoSpaceDN w:val="0"/>
      <w:adjustRightInd w:val="0"/>
      <w:jc w:val="right"/>
    </w:pPr>
    <w:rPr>
      <w:rFonts w:cs="Arial"/>
      <w:szCs w:val="18"/>
    </w:rPr>
  </w:style>
  <w:style w:type="paragraph" w:customStyle="1" w:styleId="CopyrightText">
    <w:name w:val="Copyright Text"/>
    <w:basedOn w:val="BodyText"/>
    <w:rsid w:val="007C220F"/>
    <w:rPr>
      <w:sz w:val="18"/>
    </w:rPr>
  </w:style>
  <w:style w:type="paragraph" w:customStyle="1" w:styleId="BodySmallRight">
    <w:name w:val="Body Small Right"/>
    <w:basedOn w:val="BodyTextRight"/>
    <w:rsid w:val="007C220F"/>
    <w:rPr>
      <w:sz w:val="18"/>
      <w:szCs w:val="18"/>
    </w:rPr>
  </w:style>
  <w:style w:type="paragraph" w:customStyle="1" w:styleId="MarginEdition">
    <w:name w:val="Margin Edition"/>
    <w:basedOn w:val="MarginNote"/>
    <w:rsid w:val="007C220F"/>
    <w:pPr>
      <w:spacing w:before="0" w:after="0"/>
    </w:pPr>
    <w:rPr>
      <w:rFonts w:ascii="Times New Roman" w:hAnsi="Times New Roman"/>
      <w:color w:val="999999"/>
    </w:rPr>
  </w:style>
  <w:style w:type="paragraph" w:customStyle="1" w:styleId="Spacer">
    <w:name w:val="Spacer"/>
    <w:basedOn w:val="Normal"/>
    <w:rsid w:val="007C220F"/>
    <w:rPr>
      <w:sz w:val="2"/>
      <w:szCs w:val="2"/>
    </w:rPr>
  </w:style>
  <w:style w:type="character" w:customStyle="1" w:styleId="Small">
    <w:name w:val="Small"/>
    <w:basedOn w:val="DefaultParagraphFont"/>
    <w:rsid w:val="007C220F"/>
    <w:rPr>
      <w:sz w:val="16"/>
    </w:rPr>
  </w:style>
  <w:style w:type="paragraph" w:customStyle="1" w:styleId="WideTable">
    <w:name w:val="Wide Table"/>
    <w:basedOn w:val="Normal"/>
    <w:rsid w:val="007C220F"/>
    <w:pPr>
      <w:ind w:left="-1418"/>
    </w:pPr>
    <w:rPr>
      <w:sz w:val="2"/>
      <w:szCs w:val="2"/>
    </w:rPr>
  </w:style>
  <w:style w:type="character" w:styleId="PageNumber">
    <w:name w:val="page number"/>
    <w:basedOn w:val="DefaultParagraphFont"/>
    <w:rsid w:val="007C220F"/>
  </w:style>
  <w:style w:type="paragraph" w:styleId="Quote">
    <w:name w:val="Quote"/>
    <w:basedOn w:val="Heading1"/>
    <w:link w:val="QuoteChar"/>
    <w:qFormat/>
    <w:rsid w:val="007C220F"/>
    <w:rPr>
      <w:b w:val="0"/>
      <w:sz w:val="72"/>
      <w:szCs w:val="72"/>
      <w:lang w:val="en-NZ"/>
    </w:rPr>
  </w:style>
  <w:style w:type="character" w:customStyle="1" w:styleId="QuoteChar">
    <w:name w:val="Quote Char"/>
    <w:basedOn w:val="DefaultParagraphFont"/>
    <w:link w:val="Quote"/>
    <w:rsid w:val="007C2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20F"/>
    <w:pPr>
      <w:pageBreakBefore/>
    </w:pPr>
  </w:style>
  <w:style w:type="paragraph" w:customStyle="1" w:styleId="Border">
    <w:name w:val="Border"/>
    <w:basedOn w:val="Normal"/>
    <w:qFormat/>
    <w:rsid w:val="007C2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20F"/>
    <w:rPr>
      <w:b/>
      <w:bCs/>
      <w:i/>
      <w:iCs/>
      <w:color w:val="auto"/>
    </w:rPr>
  </w:style>
  <w:style w:type="paragraph" w:styleId="IntenseQuote">
    <w:name w:val="Intense Quote"/>
    <w:basedOn w:val="Normal"/>
    <w:next w:val="Normal"/>
    <w:link w:val="IntenseQuoteChar"/>
    <w:uiPriority w:val="30"/>
    <w:qFormat/>
    <w:rsid w:val="007C2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20F"/>
    <w:rPr>
      <w:smallCaps/>
      <w:color w:val="auto"/>
      <w:u w:val="single"/>
    </w:rPr>
  </w:style>
  <w:style w:type="character" w:styleId="IntenseReference">
    <w:name w:val="Intense Reference"/>
    <w:basedOn w:val="DefaultParagraphFont"/>
    <w:uiPriority w:val="32"/>
    <w:qFormat/>
    <w:rsid w:val="007C220F"/>
    <w:rPr>
      <w:b/>
      <w:bCs/>
      <w:smallCaps/>
      <w:color w:val="auto"/>
      <w:spacing w:val="5"/>
      <w:u w:val="single"/>
    </w:rPr>
  </w:style>
  <w:style w:type="paragraph" w:customStyle="1" w:styleId="2ColumnHeading">
    <w:name w:val="2Column Heading"/>
    <w:basedOn w:val="BodyText"/>
    <w:qFormat/>
    <w:rsid w:val="007C220F"/>
    <w:pPr>
      <w:spacing w:after="60"/>
      <w:ind w:left="-2268"/>
    </w:pPr>
    <w:rPr>
      <w:b/>
    </w:rPr>
  </w:style>
  <w:style w:type="paragraph" w:customStyle="1" w:styleId="Heading1TOC">
    <w:name w:val="Heading1 TOC"/>
    <w:basedOn w:val="Normal"/>
    <w:qFormat/>
    <w:rsid w:val="007C220F"/>
    <w:pPr>
      <w:spacing w:before="240" w:after="120"/>
    </w:pPr>
    <w:rPr>
      <w:rFonts w:ascii="Times New Roman" w:hAnsi="Times New Roman"/>
      <w:b/>
      <w:sz w:val="32"/>
    </w:rPr>
  </w:style>
  <w:style w:type="paragraph" w:customStyle="1" w:styleId="Heading2TOC">
    <w:name w:val="Heading2 TOC"/>
    <w:basedOn w:val="Normal"/>
    <w:qFormat/>
    <w:rsid w:val="007C220F"/>
    <w:pPr>
      <w:spacing w:before="240" w:after="60"/>
    </w:pPr>
    <w:rPr>
      <w:rFonts w:ascii="Times New Roman" w:hAnsi="Times New Roman"/>
      <w:b/>
      <w:sz w:val="28"/>
    </w:rPr>
  </w:style>
  <w:style w:type="character" w:customStyle="1" w:styleId="Underline">
    <w:name w:val="Underline"/>
    <w:basedOn w:val="DefaultParagraphFont"/>
    <w:qFormat/>
    <w:rsid w:val="007C220F"/>
    <w:rPr>
      <w:u w:val="single"/>
    </w:rPr>
  </w:style>
  <w:style w:type="character" w:customStyle="1" w:styleId="BoldandItalics">
    <w:name w:val="Bold and Italics"/>
    <w:qFormat/>
    <w:rsid w:val="007C220F"/>
    <w:rPr>
      <w:b/>
      <w:i/>
      <w:u w:val="none"/>
    </w:rPr>
  </w:style>
  <w:style w:type="paragraph" w:styleId="BalloonText">
    <w:name w:val="Balloon Text"/>
    <w:basedOn w:val="Normal"/>
    <w:link w:val="BalloonTextChar"/>
    <w:rsid w:val="007C220F"/>
    <w:rPr>
      <w:rFonts w:ascii="Tahoma" w:hAnsi="Tahoma" w:cs="Tahoma"/>
      <w:sz w:val="16"/>
      <w:szCs w:val="16"/>
    </w:rPr>
  </w:style>
  <w:style w:type="character" w:customStyle="1" w:styleId="BalloonTextChar">
    <w:name w:val="Balloon Text Char"/>
    <w:basedOn w:val="DefaultParagraphFont"/>
    <w:link w:val="BalloonText"/>
    <w:rsid w:val="007C2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2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20F"/>
    <w:rPr>
      <w:b/>
      <w:color w:val="660033"/>
      <w:spacing w:val="0"/>
    </w:rPr>
  </w:style>
  <w:style w:type="paragraph" w:customStyle="1" w:styleId="Nameditemlist">
    <w:name w:val="Named item list"/>
    <w:basedOn w:val="BodyText"/>
    <w:qFormat/>
    <w:rsid w:val="007C220F"/>
    <w:pPr>
      <w:tabs>
        <w:tab w:val="left" w:pos="2835"/>
      </w:tabs>
      <w:ind w:left="2835" w:hanging="2835"/>
    </w:pPr>
  </w:style>
  <w:style w:type="paragraph" w:customStyle="1" w:styleId="BodyTextnopadding">
    <w:name w:val="Body Text no padding"/>
    <w:basedOn w:val="BodyText"/>
    <w:qFormat/>
    <w:rsid w:val="007C220F"/>
    <w:pPr>
      <w:spacing w:before="0" w:after="0"/>
    </w:pPr>
  </w:style>
  <w:style w:type="paragraph" w:customStyle="1" w:styleId="BodyTextBold">
    <w:name w:val="Body Text Bold"/>
    <w:basedOn w:val="BodyText"/>
    <w:qFormat/>
    <w:rsid w:val="007C220F"/>
    <w:rPr>
      <w:b/>
    </w:rPr>
  </w:style>
  <w:style w:type="character" w:styleId="Hyperlink">
    <w:name w:val="Hyperlink"/>
    <w:basedOn w:val="DefaultParagraphFont"/>
    <w:uiPriority w:val="99"/>
    <w:unhideWhenUsed/>
    <w:rsid w:val="00E137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4609</Characters>
  <Application>Microsoft Office Word</Application>
  <DocSecurity>0</DocSecurity>
  <Lines>115</Lines>
  <Paragraphs>84</Paragraphs>
  <ScaleCrop>false</ScaleCrop>
  <Company>Author-it Software Corporation Ltd.</Company>
  <LinksUpToDate>false</LinksUpToDate>
  <CharactersWithSpaces>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HLTAHW054 Support renal dialysis clients in the community setting</dc:title>
  <dc:subject>Approved</dc:subject>
  <dc:creator>SkillsIQ</dc:creator>
  <cp:keywords>Release: 2</cp:keywords>
  <dc:description>Review Date: 12 April 2008</dc:description>
  <cp:lastModifiedBy>HSD_TPCMSd.prod</cp:lastModifiedBy>
  <cp:revision>3</cp:revision>
  <dcterms:created xsi:type="dcterms:W3CDTF">2023-01-11T23:57:00Z</dcterms:created>
  <dcterms:modified xsi:type="dcterms:W3CDTF">2023-01-11T23:57:00Z</dcterms:modified>
</cp:coreProperties>
</file>