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F44" w:rsidP="00364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HLTAHW053 Address impact of food security on community health</w:t>
      </w:r>
      <w:r>
        <w:fldChar w:fldCharType="end"/>
      </w:r>
    </w:p>
    <w:p w:rsidR="00364F44" w:rsidP="00364F44">
      <w:pPr>
        <w:pStyle w:val="Version"/>
        <w:sectPr w:rsidSect="005A7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DAE" w:rsidP="005A7DAE">
      <w:pPr>
        <w:pStyle w:val="SuperHeading"/>
      </w:pPr>
      <w:r w:rsidRPr="005A7DAE">
        <w:t>HLTAHW053 Address impact of food security on community health</w:t>
      </w:r>
    </w:p>
    <w:p w:rsidR="00000000" w:rsidRPr="005A7DAE" w:rsidP="005A7DAE">
      <w:pPr>
        <w:pStyle w:val="Heading1"/>
      </w:pPr>
      <w:bookmarkStart w:id="1" w:name="O_745499"/>
      <w:bookmarkEnd w:id="1"/>
      <w:r w:rsidRPr="005A7D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rPr>
                <w:rStyle w:val="SpecialBold"/>
              </w:rPr>
              <w:t>Comments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t>Updated:</w:t>
            </w:r>
          </w:p>
          <w:p w:rsidR="00000000" w:rsidRPr="005A7DAE" w:rsidP="005A7DAE">
            <w:pPr>
              <w:pStyle w:val="ListBullet"/>
            </w:pPr>
            <w:r w:rsidRPr="005A7DAE">
              <w:t>assessor requirements statement</w:t>
            </w:r>
          </w:p>
          <w:p w:rsidR="00000000" w:rsidRPr="005A7DAE" w:rsidP="005A7DAE">
            <w:pPr>
              <w:pStyle w:val="ListBullet"/>
            </w:pPr>
            <w:r w:rsidRPr="005A7DAE">
              <w:t>foundation skills lead in statement</w:t>
            </w:r>
          </w:p>
          <w:p w:rsidR="00000000" w:rsidRPr="005A7DAE" w:rsidP="005A7DAE">
            <w:pPr>
              <w:pStyle w:val="ListBullet"/>
            </w:pPr>
            <w:r w:rsidRPr="005A7DAE">
              <w:t>licensing statement</w:t>
            </w:r>
          </w:p>
          <w:p w:rsidR="00000000" w:rsidRPr="005A7DAE" w:rsidP="005A7DAE">
            <w:pPr>
              <w:pStyle w:val="ListBullet"/>
            </w:pPr>
            <w:r w:rsidRPr="005A7DAE">
              <w:t>modification history to reflect 2012 standards</w:t>
            </w:r>
          </w:p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Equivalent outcome.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t xml:space="preserve">This version was released in </w:t>
            </w:r>
            <w:r w:rsidRPr="005A7DAE">
              <w:rPr>
                <w:rStyle w:val="Emphasis"/>
              </w:rPr>
              <w:t>HLT Health Training Package release 1.0</w:t>
            </w:r>
            <w:r w:rsidRPr="005A7DAE">
              <w:t xml:space="preserve"> and meets the requirements of the 2012 Standards for Training Packages.</w:t>
            </w:r>
          </w:p>
          <w:p w:rsidR="00000000" w:rsidRPr="005A7DAE" w:rsidP="005A7DAE">
            <w:pPr>
              <w:pStyle w:val="BodyText"/>
            </w:pPr>
            <w:r w:rsidRPr="005A7DAE">
              <w:t>Significant changes to elements and performance criteria.</w:t>
            </w:r>
            <w:r w:rsidRPr="005A7DAE">
              <w:br/>
              <w:t>New evidence requirements for assessment, including volum</w:t>
            </w:r>
            <w:r w:rsidRPr="005A7DAE">
              <w:t>e and environment requirements.</w:t>
            </w:r>
          </w:p>
        </w:tc>
      </w:tr>
    </w:tbl>
    <w:p w:rsidR="00000000" w:rsidRPr="005A7DAE" w:rsidP="005A7DAE">
      <w:pPr>
        <w:pStyle w:val="BodyText"/>
      </w:pPr>
    </w:p>
    <w:p w:rsidR="00000000" w:rsidRPr="005A7DAE" w:rsidP="005A7DAE">
      <w:pPr>
        <w:pStyle w:val="AllowPageBreak"/>
      </w:pPr>
    </w:p>
    <w:p w:rsidR="00000000" w:rsidRPr="005A7DAE" w:rsidP="005A7DAE">
      <w:pPr>
        <w:pStyle w:val="Heading1"/>
      </w:pPr>
      <w:bookmarkStart w:id="2" w:name="O_745498"/>
      <w:bookmarkEnd w:id="2"/>
      <w:r w:rsidRPr="005A7DAE">
        <w:t>Application</w:t>
      </w:r>
    </w:p>
    <w:p w:rsidR="00000000" w:rsidRPr="005A7DAE" w:rsidP="00364F44">
      <w:pPr>
        <w:pStyle w:val="BodyText"/>
      </w:pPr>
      <w:r w:rsidRPr="005A7DAE">
        <w:t>This unit describes the skills and knowledge required to conduct health care programs to address impacts of food production, manufacturing and distribution on health in Aboriginal and/or Torres</w:t>
      </w:r>
      <w:r w:rsidRPr="005A7DAE">
        <w:t xml:space="preserve"> Strait Islander communities</w:t>
      </w:r>
    </w:p>
    <w:p w:rsidR="00000000" w:rsidRPr="005A7DAE" w:rsidP="00364F44">
      <w:pPr>
        <w:pStyle w:val="BodyText"/>
      </w:pPr>
      <w:r w:rsidRPr="005A7DAE">
        <w:t>This unit applies to those Aboriginal and/or Torres Strait Islander Health Workers working independently and as part of a multidisciplinary team to deliver primary health care services to Aboriginal and/or Torres Strait Island</w:t>
      </w:r>
      <w:r w:rsidRPr="005A7DAE">
        <w:t xml:space="preserve">er clients and communities. </w:t>
      </w:r>
    </w:p>
    <w:p w:rsidR="00364F44" w:rsidRPr="00364F44" w:rsidP="00364F44">
      <w:pPr>
        <w:pStyle w:val="BodyText"/>
        <w:rPr>
          <w:i/>
        </w:rPr>
      </w:pPr>
      <w:r w:rsidRPr="00364F4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64F44">
        <w:rPr>
          <w:i/>
        </w:rPr>
        <w:t>.</w:t>
      </w:r>
    </w:p>
    <w:p w:rsidR="00000000" w:rsidRPr="005A7DAE" w:rsidP="005A7DAE">
      <w:pPr>
        <w:pStyle w:val="Heading1"/>
      </w:pPr>
      <w:bookmarkStart w:id="3" w:name="O_745497"/>
      <w:bookmarkEnd w:id="3"/>
      <w:r w:rsidRPr="005A7D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33"/>
        <w:gridCol w:w="5669"/>
      </w:tblGrid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rPr>
                <w:rStyle w:val="SpecialBold"/>
              </w:rPr>
              <w:t>ELEM</w:t>
            </w:r>
            <w:r w:rsidRPr="005A7DAE">
              <w:rPr>
                <w:rStyle w:val="SpecialBold"/>
              </w:rPr>
              <w:t>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rPr>
                <w:rStyle w:val="SpecialBold"/>
              </w:rPr>
              <w:t>PERFORMANCE CRITERIA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1. Examine food security issues in Aboriginal and/or Torres Strait Islander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t>1.1</w:t>
            </w:r>
            <w:r w:rsidRPr="005A7DAE">
              <w:tab/>
              <w:t>Research food security issues in the local context</w:t>
            </w:r>
          </w:p>
          <w:p w:rsidR="00000000" w:rsidRPr="005A7DAE" w:rsidP="005A7DAE">
            <w:pPr>
              <w:pStyle w:val="BodyText"/>
            </w:pPr>
            <w:r w:rsidRPr="005A7DAE">
              <w:t>1.2</w:t>
            </w:r>
            <w:r w:rsidRPr="005A7DAE">
              <w:tab/>
              <w:t xml:space="preserve">Describe the characteristics of food security and coping strategies employed in the local context </w:t>
            </w:r>
          </w:p>
          <w:p w:rsidR="00000000" w:rsidRPr="005A7DAE" w:rsidP="005A7DAE">
            <w:pPr>
              <w:pStyle w:val="BodyText"/>
            </w:pPr>
            <w:r w:rsidRPr="005A7DAE">
              <w:t>1.3    Exami</w:t>
            </w:r>
            <w:r w:rsidRPr="005A7DAE">
              <w:t>ne the underlying determinants of food availability, food access and food utilisation in the local context</w:t>
            </w:r>
          </w:p>
          <w:p w:rsidR="00000000" w:rsidRPr="005A7DAE" w:rsidP="005A7DAE">
            <w:pPr>
              <w:pStyle w:val="BodyText"/>
            </w:pPr>
            <w:r w:rsidRPr="005A7DAE">
              <w:t>1.4</w:t>
            </w:r>
            <w:r w:rsidRPr="005A7DAE">
              <w:tab/>
              <w:t>Investigate the factors that influence stability of food availability, food access and food utilisation in the local context</w:t>
            </w:r>
          </w:p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1.5</w:t>
            </w:r>
            <w:r w:rsidRPr="005A7DAE">
              <w:tab/>
              <w:t>Demonstrate an u</w:t>
            </w:r>
            <w:r w:rsidRPr="005A7DAE">
              <w:t>nderstanding of the link between food security, wellbeing and livelihoods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 xml:space="preserve">2. Analyse food availability, food access and food use issues for the community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t>2.1</w:t>
            </w:r>
            <w:r w:rsidRPr="005A7DAE">
              <w:tab/>
              <w:t>Establish enablers and barriers to food security in the local context</w:t>
            </w:r>
          </w:p>
          <w:p w:rsidR="00000000" w:rsidRPr="005A7DAE" w:rsidP="005A7DAE">
            <w:pPr>
              <w:pStyle w:val="BodyText"/>
            </w:pPr>
            <w:r w:rsidRPr="005A7DAE">
              <w:t>2.2</w:t>
            </w:r>
            <w:r w:rsidRPr="005A7DAE">
              <w:tab/>
              <w:t>Identify individual</w:t>
            </w:r>
            <w:r w:rsidRPr="005A7DAE">
              <w:t>s, groups and communities that are vulnerable to food insecurity</w:t>
            </w:r>
          </w:p>
          <w:p w:rsidR="00000000" w:rsidRPr="005A7DAE" w:rsidP="005A7DAE">
            <w:pPr>
              <w:pStyle w:val="BodyText"/>
            </w:pPr>
            <w:r w:rsidRPr="005A7DAE">
              <w:t>2.3</w:t>
            </w:r>
            <w:r w:rsidRPr="005A7DAE">
              <w:tab/>
              <w:t>Analyse the local food supply and evaluate it against relevant evidence-based guidelines</w:t>
            </w:r>
          </w:p>
          <w:p w:rsidR="00000000" w:rsidRPr="005A7DAE" w:rsidP="005A7DAE">
            <w:pPr>
              <w:pStyle w:val="BodyText"/>
            </w:pPr>
            <w:r w:rsidRPr="005A7DAE">
              <w:t>2.4</w:t>
            </w:r>
            <w:r w:rsidRPr="005A7DAE">
              <w:tab/>
              <w:t>Identify and prioritise the different factors and domains that affect food security in the loc</w:t>
            </w:r>
            <w:r w:rsidRPr="005A7DAE">
              <w:t>al context</w:t>
            </w:r>
          </w:p>
          <w:p w:rsidR="00000000" w:rsidRPr="005A7DAE" w:rsidP="005A7DAE">
            <w:pPr>
              <w:pStyle w:val="BodyText"/>
            </w:pPr>
            <w:r w:rsidRPr="005A7DAE">
              <w:t>2.5</w:t>
            </w:r>
            <w:r w:rsidRPr="005A7DAE">
              <w:tab/>
              <w:t>Determine how the organisation can contribute to improving food security</w:t>
            </w:r>
          </w:p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2.6</w:t>
            </w:r>
            <w:r w:rsidRPr="005A7DAE">
              <w:tab/>
              <w:t>Review and evaluate community policies and programs relevant to food security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t>3. Formulate strategies to protect food security and address food insecurity in vulnerable groups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t>3.1</w:t>
            </w:r>
            <w:r w:rsidRPr="005A7DAE">
              <w:tab/>
              <w:t>Identify key stakeholders across disciplines to contribute to improving food security in the local context</w:t>
            </w:r>
          </w:p>
          <w:p w:rsidR="00000000" w:rsidRPr="005A7DAE" w:rsidP="005A7DAE">
            <w:pPr>
              <w:pStyle w:val="BodyText"/>
            </w:pPr>
            <w:r w:rsidRPr="005A7DAE">
              <w:t>3.2</w:t>
            </w:r>
            <w:r w:rsidRPr="005A7DAE">
              <w:tab/>
              <w:t>Engage the community and key stakeholders i</w:t>
            </w:r>
            <w:r w:rsidRPr="005A7DAE">
              <w:t>n the development, implementation and evaluation of strategies to improve food security</w:t>
            </w:r>
          </w:p>
          <w:p w:rsidR="00000000" w:rsidRPr="005A7DAE" w:rsidP="005A7DAE">
            <w:pPr>
              <w:pStyle w:val="BodyText"/>
            </w:pPr>
            <w:r w:rsidRPr="005A7DAE">
              <w:t>3.3</w:t>
            </w:r>
            <w:r w:rsidRPr="005A7DAE">
              <w:tab/>
              <w:t>Determine key roles and responsibilities of all stakeholders to improve food security</w:t>
            </w:r>
          </w:p>
          <w:p w:rsidR="00000000" w:rsidRPr="005A7DAE" w:rsidP="005A7DAE">
            <w:pPr>
              <w:pStyle w:val="BodyText"/>
            </w:pPr>
            <w:r w:rsidRPr="005A7DAE">
              <w:t>3.4</w:t>
            </w:r>
            <w:r w:rsidRPr="005A7DAE">
              <w:tab/>
              <w:t>Consider collaborative, multilevel approaches to addressing food security</w:t>
            </w:r>
          </w:p>
          <w:p w:rsidR="00000000" w:rsidRPr="005A7DAE" w:rsidP="005A7DAE">
            <w:pPr>
              <w:pStyle w:val="BodyText"/>
            </w:pPr>
            <w:r w:rsidRPr="005A7DAE">
              <w:t>3.5</w:t>
            </w:r>
            <w:r w:rsidRPr="005A7DAE">
              <w:tab/>
              <w:t xml:space="preserve">Identify how organisation can contribute to </w:t>
            </w:r>
            <w:r w:rsidRPr="005A7DAE">
              <w:t>improving food security</w:t>
            </w:r>
          </w:p>
          <w:p w:rsidR="00000000" w:rsidRPr="005A7DAE" w:rsidP="005A7DAE">
            <w:pPr>
              <w:pStyle w:val="BodyText"/>
            </w:pPr>
            <w:r w:rsidRPr="005A7DAE">
              <w:t>3.6</w:t>
            </w:r>
            <w:r w:rsidRPr="005A7DAE">
              <w:tab/>
              <w:t>Develop a plan to address food security in the local context for the organisation</w:t>
            </w:r>
          </w:p>
          <w:p w:rsidR="00000000" w:rsidRPr="005A7DAE" w:rsidP="005A7DAE">
            <w:pPr>
              <w:pStyle w:val="BodyText"/>
            </w:pPr>
            <w:r w:rsidRPr="005A7DAE">
              <w:t>3.7</w:t>
            </w:r>
            <w:r w:rsidRPr="005A7DAE">
              <w:tab/>
              <w:t>Monitor and evaluate food security activities in the workplace and local context</w:t>
            </w:r>
          </w:p>
          <w:p w:rsidR="00000000" w:rsidRPr="005A7DAE" w:rsidP="005A7DAE">
            <w:pPr>
              <w:pStyle w:val="BodyText"/>
            </w:pPr>
            <w:r w:rsidRPr="005A7DAE">
              <w:t>3.8</w:t>
            </w:r>
            <w:r w:rsidRPr="005A7DAE">
              <w:tab/>
              <w:t xml:space="preserve">Advocate </w:t>
            </w:r>
            <w:r w:rsidRPr="005A7DAE">
              <w:t>for improved food security in local context, especially for vulnerable groups</w:t>
            </w:r>
          </w:p>
        </w:tc>
      </w:tr>
    </w:tbl>
    <w:p w:rsidR="00364F44" w:rsidP="005A7DAE">
      <w:pPr>
        <w:pStyle w:val="BodyText"/>
      </w:pPr>
    </w:p>
    <w:p w:rsidR="00364F44" w:rsidP="005A7DAE">
      <w:pPr>
        <w:pStyle w:val="BodyText"/>
      </w:pPr>
    </w:p>
    <w:p w:rsidR="00000000" w:rsidRPr="005A7DAE" w:rsidP="005A7DAE">
      <w:pPr>
        <w:pStyle w:val="Heading1"/>
      </w:pPr>
      <w:bookmarkStart w:id="4" w:name="O_745496"/>
      <w:bookmarkEnd w:id="4"/>
      <w:r w:rsidRPr="005A7D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AE">
            <w:pPr>
              <w:pStyle w:val="BodyText"/>
              <w:rPr>
                <w:lang w:val="en-NZ"/>
              </w:rPr>
            </w:pPr>
            <w:r w:rsidRPr="005A7DAE">
              <w:rPr>
                <w:rStyle w:val="Emphasis"/>
              </w:rPr>
              <w:t xml:space="preserve">The Foundation Skills describe those required skills (language, literacy, numeracy and </w:t>
            </w:r>
            <w:r w:rsidRPr="005A7DAE">
              <w:t xml:space="preserve">employment </w:t>
            </w:r>
            <w:r w:rsidRPr="005A7DAE">
              <w:rPr>
                <w:rStyle w:val="Emphasis"/>
              </w:rPr>
              <w:t>skills) that are essential to performance.</w:t>
            </w:r>
          </w:p>
        </w:tc>
      </w:tr>
      <w:tr w:rsidTr="005A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AE" w:rsidP="005A7DAE">
            <w:pPr>
              <w:pStyle w:val="BodyText"/>
            </w:pPr>
            <w:r w:rsidRPr="005A7DAE">
              <w:t>Foundation skills essential to performance are explicit in the performance criteria of this unit of competency.</w:t>
            </w:r>
          </w:p>
        </w:tc>
      </w:tr>
    </w:tbl>
    <w:p w:rsidR="00000000" w:rsidRPr="005A7DAE" w:rsidP="005A7DAE">
      <w:pPr>
        <w:pStyle w:val="BodyText"/>
      </w:pPr>
    </w:p>
    <w:p w:rsidR="00000000" w:rsidRPr="005A7DAE" w:rsidP="005A7DAE">
      <w:pPr>
        <w:pStyle w:val="AllowPageBreak"/>
      </w:pPr>
    </w:p>
    <w:p w:rsidR="00000000" w:rsidRPr="005A7DAE" w:rsidP="005A7DAE">
      <w:pPr>
        <w:pStyle w:val="Heading1"/>
      </w:pPr>
      <w:bookmarkStart w:id="5" w:name="O_745495"/>
      <w:bookmarkEnd w:id="5"/>
      <w:r w:rsidRPr="005A7DAE">
        <w:t>Unit Mapping Information</w:t>
      </w:r>
    </w:p>
    <w:p w:rsidR="00364F44" w:rsidP="00364F44">
      <w:pPr>
        <w:pStyle w:val="BodyText"/>
      </w:pPr>
      <w:r w:rsidRPr="005A7DAE">
        <w:t>No equivalent unit</w:t>
      </w:r>
    </w:p>
    <w:p w:rsidR="00000000" w:rsidRPr="005A7DAE" w:rsidP="005A7DAE">
      <w:pPr>
        <w:pStyle w:val="Heading1"/>
      </w:pPr>
      <w:bookmarkStart w:id="6" w:name="O_745500"/>
      <w:bookmarkEnd w:id="6"/>
      <w:r w:rsidRPr="005A7DAE">
        <w:t>Links</w:t>
      </w:r>
    </w:p>
    <w:p w:rsidR="00000000" w:rsidRPr="005A7DAE" w:rsidP="00364F44">
      <w:pPr>
        <w:pStyle w:val="BodyText"/>
      </w:pPr>
      <w:r w:rsidRPr="005A7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C0B5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A7DAE" w:rsidP="005A7DAE"/>
    <w:sectPr w:rsidSect="005A7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AE" w:rsidRPr="00364F44" w:rsidP="00364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44" w:rsidP="005A7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F44" w:rsidP="005A7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4F44" w:rsidP="005A7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DAE" w:rsidRPr="00364F44" w:rsidP="00364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44" w:rsidRPr="002D2AF8" w:rsidP="005A7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HLTAHW053 Address impact of food security on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64F44" w:rsidP="005A7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403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1EB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DAE"/>
  </w:style>
  <w:style w:type="character" w:customStyle="1" w:styleId="Heading1Char">
    <w:name w:val="Heading 1 Char"/>
    <w:basedOn w:val="DefaultParagraphFont"/>
    <w:link w:val="Heading1"/>
    <w:rsid w:val="005A7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D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DAE"/>
    <w:rPr>
      <w:b/>
      <w:spacing w:val="0"/>
    </w:rPr>
  </w:style>
  <w:style w:type="character" w:styleId="Emphasis">
    <w:name w:val="Emphasis"/>
    <w:basedOn w:val="DefaultParagraphFont"/>
    <w:qFormat/>
    <w:rsid w:val="005A7DAE"/>
    <w:rPr>
      <w:i/>
    </w:rPr>
  </w:style>
  <w:style w:type="paragraph" w:customStyle="1" w:styleId="SuperHeading">
    <w:name w:val="SuperHeading"/>
    <w:basedOn w:val="Normal"/>
    <w:rsid w:val="005A7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D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D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DAE"/>
  </w:style>
  <w:style w:type="paragraph" w:styleId="TableofFigures">
    <w:name w:val="table of figures"/>
    <w:basedOn w:val="Normal"/>
    <w:next w:val="Normal"/>
    <w:semiHidden/>
    <w:rsid w:val="005A7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D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DAE"/>
    <w:rPr>
      <w:rFonts w:ascii="Wingdings" w:hAnsi="Wingdings"/>
    </w:rPr>
  </w:style>
  <w:style w:type="paragraph" w:customStyle="1" w:styleId="TableHeading">
    <w:name w:val="Table Heading"/>
    <w:basedOn w:val="HeadingBase"/>
    <w:rsid w:val="005A7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DAE"/>
    <w:rPr>
      <w:color w:val="0033CC"/>
      <w:u w:val="none"/>
    </w:rPr>
  </w:style>
  <w:style w:type="paragraph" w:customStyle="1" w:styleId="BodyTextRight">
    <w:name w:val="Body Text Right"/>
    <w:basedOn w:val="BodyText"/>
    <w:rsid w:val="005A7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D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DAE"/>
    <w:rPr>
      <w:sz w:val="32"/>
    </w:rPr>
  </w:style>
  <w:style w:type="paragraph" w:customStyle="1" w:styleId="HeadingProcedure">
    <w:name w:val="Heading Procedure"/>
    <w:basedOn w:val="HeadingBase"/>
    <w:next w:val="Normal"/>
    <w:rsid w:val="005A7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DAE"/>
    <w:pPr>
      <w:spacing w:before="60" w:after="60"/>
    </w:pPr>
  </w:style>
  <w:style w:type="paragraph" w:styleId="ListContinue">
    <w:name w:val="List Continue"/>
    <w:basedOn w:val="List"/>
    <w:rsid w:val="005A7DAE"/>
    <w:pPr>
      <w:ind w:firstLine="0"/>
    </w:pPr>
  </w:style>
  <w:style w:type="paragraph" w:customStyle="1" w:styleId="ListNote">
    <w:name w:val="List Note"/>
    <w:basedOn w:val="List"/>
    <w:rsid w:val="005A7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DAE"/>
    <w:rPr>
      <w:rFonts w:ascii="Courier New" w:hAnsi="Courier New"/>
    </w:rPr>
  </w:style>
  <w:style w:type="paragraph" w:customStyle="1" w:styleId="NoteBullet">
    <w:name w:val="Note Bullet"/>
    <w:basedOn w:val="Note"/>
    <w:rsid w:val="005A7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D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DAE"/>
    <w:rPr>
      <w:b/>
      <w:smallCaps/>
    </w:rPr>
  </w:style>
  <w:style w:type="paragraph" w:customStyle="1" w:styleId="TableListNumber">
    <w:name w:val="Table List Number"/>
    <w:basedOn w:val="ListNumber"/>
    <w:rsid w:val="005A7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DAE"/>
    <w:pPr>
      <w:numPr>
        <w:numId w:val="8"/>
      </w:numPr>
    </w:pPr>
  </w:style>
  <w:style w:type="paragraph" w:customStyle="1" w:styleId="ListAlpha2">
    <w:name w:val="List Alpha 2"/>
    <w:basedOn w:val="List2"/>
    <w:rsid w:val="005A7DAE"/>
    <w:pPr>
      <w:numPr>
        <w:numId w:val="7"/>
      </w:numPr>
    </w:pPr>
  </w:style>
  <w:style w:type="paragraph" w:styleId="List2">
    <w:name w:val="List 2"/>
    <w:basedOn w:val="BodyText"/>
    <w:rsid w:val="005A7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D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D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DAE"/>
    <w:pPr>
      <w:numPr>
        <w:numId w:val="3"/>
      </w:numPr>
    </w:pPr>
  </w:style>
  <w:style w:type="paragraph" w:styleId="ListContinue2">
    <w:name w:val="List Continue 2"/>
    <w:basedOn w:val="List2"/>
    <w:rsid w:val="005A7DAE"/>
    <w:pPr>
      <w:ind w:firstLine="0"/>
    </w:pPr>
  </w:style>
  <w:style w:type="paragraph" w:styleId="ListContinue3">
    <w:name w:val="List Continue 3"/>
    <w:basedOn w:val="List3"/>
    <w:rsid w:val="005A7DAE"/>
    <w:pPr>
      <w:ind w:left="1021" w:firstLine="0"/>
    </w:pPr>
  </w:style>
  <w:style w:type="paragraph" w:styleId="ListContinue4">
    <w:name w:val="List Continue 4"/>
    <w:basedOn w:val="List4"/>
    <w:rsid w:val="005A7DAE"/>
    <w:pPr>
      <w:ind w:firstLine="0"/>
    </w:pPr>
  </w:style>
  <w:style w:type="paragraph" w:styleId="ListContinue5">
    <w:name w:val="List Continue 5"/>
    <w:basedOn w:val="List5"/>
    <w:rsid w:val="005A7DAE"/>
    <w:pPr>
      <w:ind w:firstLine="0"/>
    </w:pPr>
  </w:style>
  <w:style w:type="paragraph" w:styleId="ListNumber3">
    <w:name w:val="List Number 3"/>
    <w:basedOn w:val="List3"/>
    <w:rsid w:val="005A7DAE"/>
    <w:pPr>
      <w:numPr>
        <w:numId w:val="4"/>
      </w:numPr>
    </w:pPr>
  </w:style>
  <w:style w:type="paragraph" w:styleId="ListNumber4">
    <w:name w:val="List Number 4"/>
    <w:basedOn w:val="List4"/>
    <w:rsid w:val="005A7DAE"/>
    <w:pPr>
      <w:numPr>
        <w:numId w:val="5"/>
      </w:numPr>
    </w:pPr>
  </w:style>
  <w:style w:type="paragraph" w:styleId="ListNumber5">
    <w:name w:val="List Number 5"/>
    <w:basedOn w:val="List5"/>
    <w:rsid w:val="005A7DAE"/>
    <w:pPr>
      <w:numPr>
        <w:numId w:val="6"/>
      </w:numPr>
    </w:pPr>
  </w:style>
  <w:style w:type="paragraph" w:styleId="BlockText">
    <w:name w:val="Block Text"/>
    <w:basedOn w:val="Normal"/>
    <w:rsid w:val="005A7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DAE"/>
    <w:rPr>
      <w:sz w:val="16"/>
      <w:vertAlign w:val="superscript"/>
    </w:rPr>
  </w:style>
  <w:style w:type="character" w:customStyle="1" w:styleId="Symbols">
    <w:name w:val="Symbols"/>
    <w:basedOn w:val="DefaultParagraphFont"/>
    <w:rsid w:val="005A7DAE"/>
    <w:rPr>
      <w:rFonts w:ascii="Symbol" w:hAnsi="Symbol"/>
    </w:rPr>
  </w:style>
  <w:style w:type="character" w:customStyle="1" w:styleId="MenuOptions">
    <w:name w:val="Menu Options"/>
    <w:basedOn w:val="DefaultParagraphFont"/>
    <w:rsid w:val="005A7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DAE"/>
    <w:rPr>
      <w:b/>
    </w:rPr>
  </w:style>
  <w:style w:type="character" w:customStyle="1" w:styleId="Underlined">
    <w:name w:val="Underlined"/>
    <w:basedOn w:val="DefaultParagraphFont"/>
    <w:rsid w:val="005A7DAE"/>
    <w:rPr>
      <w:u w:val="single"/>
    </w:rPr>
  </w:style>
  <w:style w:type="paragraph" w:customStyle="1" w:styleId="TableBodyTextRight">
    <w:name w:val="Table Body Text Right"/>
    <w:basedOn w:val="TableBodyText"/>
    <w:rsid w:val="005A7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DAE"/>
    <w:rPr>
      <w:sz w:val="18"/>
    </w:rPr>
  </w:style>
  <w:style w:type="paragraph" w:customStyle="1" w:styleId="BodySmallRight">
    <w:name w:val="Body Small Right"/>
    <w:basedOn w:val="BodyTextRight"/>
    <w:rsid w:val="005A7DAE"/>
    <w:rPr>
      <w:sz w:val="18"/>
      <w:szCs w:val="18"/>
    </w:rPr>
  </w:style>
  <w:style w:type="paragraph" w:customStyle="1" w:styleId="MarginEdition">
    <w:name w:val="Margin Edition"/>
    <w:basedOn w:val="MarginNote"/>
    <w:rsid w:val="005A7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DAE"/>
    <w:rPr>
      <w:sz w:val="2"/>
      <w:szCs w:val="2"/>
    </w:rPr>
  </w:style>
  <w:style w:type="character" w:customStyle="1" w:styleId="Small">
    <w:name w:val="Small"/>
    <w:basedOn w:val="DefaultParagraphFont"/>
    <w:rsid w:val="005A7DAE"/>
    <w:rPr>
      <w:sz w:val="16"/>
    </w:rPr>
  </w:style>
  <w:style w:type="paragraph" w:customStyle="1" w:styleId="WideTable">
    <w:name w:val="Wide Table"/>
    <w:basedOn w:val="Normal"/>
    <w:rsid w:val="005A7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DAE"/>
  </w:style>
  <w:style w:type="paragraph" w:styleId="Quote">
    <w:name w:val="Quote"/>
    <w:basedOn w:val="Heading1"/>
    <w:link w:val="QuoteChar"/>
    <w:qFormat/>
    <w:rsid w:val="005A7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DAE"/>
    <w:pPr>
      <w:pageBreakBefore/>
    </w:pPr>
  </w:style>
  <w:style w:type="paragraph" w:customStyle="1" w:styleId="Border">
    <w:name w:val="Border"/>
    <w:basedOn w:val="Normal"/>
    <w:qFormat/>
    <w:rsid w:val="005A7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DAE"/>
    <w:rPr>
      <w:u w:val="single"/>
    </w:rPr>
  </w:style>
  <w:style w:type="character" w:customStyle="1" w:styleId="BoldandItalics">
    <w:name w:val="Bold and Italics"/>
    <w:qFormat/>
    <w:rsid w:val="005A7DAE"/>
    <w:rPr>
      <w:b/>
      <w:i/>
      <w:u w:val="none"/>
    </w:rPr>
  </w:style>
  <w:style w:type="paragraph" w:styleId="BalloonText">
    <w:name w:val="Balloon Text"/>
    <w:basedOn w:val="Normal"/>
    <w:link w:val="BalloonTextChar"/>
    <w:rsid w:val="005A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DAE"/>
    <w:pPr>
      <w:spacing w:before="0" w:after="0"/>
    </w:pPr>
  </w:style>
  <w:style w:type="paragraph" w:customStyle="1" w:styleId="BodyTextBold">
    <w:name w:val="Body Text Bold"/>
    <w:basedOn w:val="BodyText"/>
    <w:qFormat/>
    <w:rsid w:val="005A7DAE"/>
    <w:rPr>
      <w:b/>
    </w:rPr>
  </w:style>
  <w:style w:type="character" w:styleId="Hyperlink">
    <w:name w:val="Hyperlink"/>
    <w:basedOn w:val="DefaultParagraphFont"/>
    <w:uiPriority w:val="99"/>
    <w:unhideWhenUsed/>
    <w:rsid w:val="00364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3628</Characters>
  <Application>Microsoft Office Word</Application>
  <DocSecurity>0</DocSecurity>
  <Lines>120</Lines>
  <Paragraphs>64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HLTAHW053 Address impact of food security on community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2022-11-24T13:54:00Z</dcterms:created>
  <dcterms:modified xsi:type="dcterms:W3CDTF">2022-11-24T13:54:00Z</dcterms:modified>
</cp:coreProperties>
</file>