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3B5" w:rsidP="00016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HLTAHW053 Address impact of food security on community health</w:t>
      </w:r>
      <w:r>
        <w:fldChar w:fldCharType="end"/>
      </w:r>
    </w:p>
    <w:p w:rsidR="000163B5" w:rsidP="000163B5">
      <w:pPr>
        <w:pStyle w:val="Version"/>
        <w:sectPr w:rsidSect="003F1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1061" w:rsidP="003F1061">
      <w:pPr>
        <w:pStyle w:val="SuperHeading"/>
      </w:pPr>
      <w:r w:rsidRPr="003F1061">
        <w:t>Assessment Requirements for HLTAHW053 Address impact of food security on community health</w:t>
      </w:r>
    </w:p>
    <w:p w:rsidR="00000000" w:rsidRPr="003F1061" w:rsidP="003F1061">
      <w:pPr>
        <w:pStyle w:val="Heading1"/>
      </w:pPr>
      <w:bookmarkStart w:id="1" w:name="O_745493"/>
      <w:bookmarkEnd w:id="1"/>
      <w:r w:rsidRPr="003F1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F1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061" w:rsidP="003F1061">
            <w:pPr>
              <w:pStyle w:val="BodyText"/>
            </w:pPr>
            <w:r w:rsidRPr="003F106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061">
            <w:pPr>
              <w:pStyle w:val="BodyText"/>
              <w:rPr>
                <w:lang w:val="en-NZ"/>
              </w:rPr>
            </w:pPr>
            <w:r w:rsidRPr="003F1061">
              <w:rPr>
                <w:rStyle w:val="SpecialBold"/>
              </w:rPr>
              <w:t>Comments</w:t>
            </w:r>
          </w:p>
        </w:tc>
      </w:tr>
      <w:tr w:rsidTr="003F1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061">
            <w:pPr>
              <w:pStyle w:val="BodyText"/>
              <w:rPr>
                <w:lang w:val="en-NZ"/>
              </w:rPr>
            </w:pPr>
            <w:r w:rsidRPr="003F106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061" w:rsidP="003F1061">
            <w:pPr>
              <w:pStyle w:val="BodyText"/>
            </w:pPr>
            <w:r w:rsidRPr="003F1061">
              <w:t>Updated:</w:t>
            </w:r>
          </w:p>
          <w:p w:rsidR="00000000" w:rsidRPr="003F1061" w:rsidP="003F1061">
            <w:pPr>
              <w:pStyle w:val="ListBullet"/>
            </w:pPr>
            <w:r w:rsidRPr="003F1061">
              <w:t>assessor requirements statement</w:t>
            </w:r>
          </w:p>
          <w:p w:rsidR="00000000" w:rsidRPr="003F1061" w:rsidP="003F1061">
            <w:pPr>
              <w:pStyle w:val="ListBullet"/>
            </w:pPr>
            <w:r w:rsidRPr="003F1061">
              <w:t>foundation skills lead in statement</w:t>
            </w:r>
          </w:p>
          <w:p w:rsidR="00000000" w:rsidRPr="003F1061" w:rsidP="003F1061">
            <w:pPr>
              <w:pStyle w:val="ListBullet"/>
            </w:pPr>
            <w:r w:rsidRPr="003F1061">
              <w:t>licensing statement</w:t>
            </w:r>
          </w:p>
          <w:p w:rsidR="00000000" w:rsidP="003F1061">
            <w:pPr>
              <w:pStyle w:val="ListBullet"/>
              <w:rPr>
                <w:lang w:val="en-NZ"/>
              </w:rPr>
            </w:pPr>
            <w:r w:rsidRPr="003F1061">
              <w:t>modification history to reflect 2012 standards</w:t>
            </w:r>
          </w:p>
        </w:tc>
      </w:tr>
      <w:tr w:rsidTr="003F1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061">
            <w:pPr>
              <w:pStyle w:val="BodyText"/>
              <w:rPr>
                <w:lang w:val="en-NZ"/>
              </w:rPr>
            </w:pPr>
            <w:r w:rsidRPr="003F106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061" w:rsidP="003F1061">
            <w:pPr>
              <w:pStyle w:val="BodyText"/>
            </w:pPr>
            <w:r w:rsidRPr="003F1061">
              <w:t xml:space="preserve">This version was released in </w:t>
            </w:r>
            <w:r w:rsidRPr="003F1061">
              <w:rPr>
                <w:rStyle w:val="Emphasis"/>
              </w:rPr>
              <w:t>HLT Health Training Package release 1.0</w:t>
            </w:r>
            <w:r w:rsidRPr="003F1061">
              <w:t xml:space="preserve"> and meets the requirements of the 2012 Standards for Training Packages.</w:t>
            </w:r>
          </w:p>
          <w:p w:rsidR="00000000" w:rsidRPr="003F1061" w:rsidP="003F1061">
            <w:pPr>
              <w:pStyle w:val="BodyText"/>
            </w:pPr>
            <w:r w:rsidRPr="003F1061">
              <w:t>Significant changes to elements and performance criteria.</w:t>
            </w:r>
            <w:r w:rsidRPr="003F1061">
              <w:br/>
              <w:t>New evidence requirements for assessment, including volume and environment requirements</w:t>
            </w:r>
          </w:p>
        </w:tc>
      </w:tr>
    </w:tbl>
    <w:p w:rsidR="000163B5" w:rsidP="003F1061">
      <w:pPr>
        <w:pStyle w:val="BodyText"/>
      </w:pPr>
    </w:p>
    <w:p w:rsidR="000163B5" w:rsidP="003F1061">
      <w:pPr>
        <w:pStyle w:val="BodyText"/>
      </w:pPr>
    </w:p>
    <w:p w:rsidR="00000000" w:rsidRPr="003F1061" w:rsidP="003F1061">
      <w:pPr>
        <w:pStyle w:val="Heading1"/>
      </w:pPr>
      <w:bookmarkStart w:id="2" w:name="O_745492"/>
      <w:bookmarkEnd w:id="2"/>
      <w:r w:rsidRPr="003F1061">
        <w:t>Performance Evidence</w:t>
      </w:r>
    </w:p>
    <w:p w:rsidR="00000000" w:rsidRPr="003F1061" w:rsidP="000163B5">
      <w:pPr>
        <w:pStyle w:val="BodyText"/>
      </w:pPr>
      <w:r w:rsidRPr="003F1061">
        <w:t>The candidate must show evidence of the ability to complete tasks outlined in elements and performance criteria of this unit,</w:t>
      </w:r>
      <w:r w:rsidRPr="003F1061">
        <w:t xml:space="preserve"> manage tasks and manage contingencies in the context of the job role. </w:t>
      </w:r>
    </w:p>
    <w:p w:rsidR="00000000" w:rsidRPr="003F1061" w:rsidP="000163B5">
      <w:pPr>
        <w:pStyle w:val="BodyText"/>
      </w:pPr>
      <w:r w:rsidRPr="003F1061">
        <w:t>There must be evidence that the candidate has:</w:t>
      </w:r>
    </w:p>
    <w:p w:rsidR="00000000" w:rsidRPr="003F1061" w:rsidP="003F1061">
      <w:pPr>
        <w:pStyle w:val="ListBullet"/>
      </w:pPr>
      <w:r w:rsidRPr="003F1061">
        <w:t>investigated and analysed the relationship between community health issues and food security in the local context for at least one Abor</w:t>
      </w:r>
      <w:r w:rsidRPr="003F1061">
        <w:t>iginal and/or Torres Strait Islander community by:</w:t>
      </w:r>
    </w:p>
    <w:p w:rsidR="00000000" w:rsidRPr="003F1061" w:rsidP="003F1061">
      <w:pPr>
        <w:pStyle w:val="ListBullet2"/>
      </w:pPr>
      <w:r w:rsidRPr="003F1061">
        <w:t>accessing relevant resources to determine nutritional needs of specific client groups</w:t>
      </w:r>
    </w:p>
    <w:p w:rsidR="00000000" w:rsidRPr="003F1061" w:rsidP="003F1061">
      <w:pPr>
        <w:pStyle w:val="ListBullet2"/>
      </w:pPr>
      <w:r>
        <w:t>•</w:t>
      </w:r>
      <w:r>
        <w:tab/>
      </w:r>
      <w:r w:rsidRPr="003F1061">
        <w:t>identifying groups at risk of food insecurity</w:t>
      </w:r>
    </w:p>
    <w:p w:rsidR="00000000" w:rsidRPr="003F1061" w:rsidP="003F1061">
      <w:pPr>
        <w:pStyle w:val="ListBullet2"/>
      </w:pPr>
      <w:r w:rsidRPr="003F1061">
        <w:t xml:space="preserve">monitoring and analysing the food systems and assessing available food sources (including traditional and non-traditional food sources) against the Australian Dietary Guidelines </w:t>
      </w:r>
    </w:p>
    <w:p w:rsidR="00000000" w:rsidRPr="003F1061" w:rsidP="003F1061">
      <w:pPr>
        <w:pStyle w:val="ListBullet2"/>
      </w:pPr>
      <w:r w:rsidRPr="003F1061">
        <w:t>developing appropriate strategies to promote and improve food security at hou</w:t>
      </w:r>
      <w:r w:rsidRPr="003F1061">
        <w:t>sehold and community level</w:t>
      </w:r>
    </w:p>
    <w:p w:rsidR="00000000" w:rsidRPr="003F1061" w:rsidP="003F1061">
      <w:pPr>
        <w:pStyle w:val="ListBullet2"/>
      </w:pPr>
      <w:r w:rsidRPr="003F1061">
        <w:t>evaluating interventions based on evidence and good practice</w:t>
      </w:r>
    </w:p>
    <w:p w:rsidR="00000000" w:rsidRPr="003F1061" w:rsidP="003F1061">
      <w:pPr>
        <w:pStyle w:val="ListBullet2"/>
      </w:pPr>
      <w:r w:rsidRPr="003F1061">
        <w:t>researching and accessing data to assess and understand food security issues in the local context</w:t>
      </w:r>
    </w:p>
    <w:p w:rsidR="00000000" w:rsidRPr="003F1061" w:rsidP="003F1061">
      <w:pPr>
        <w:pStyle w:val="ListBullet2"/>
      </w:pPr>
      <w:r w:rsidRPr="003F1061">
        <w:t>working with the community utilising a community engagement approach t</w:t>
      </w:r>
      <w:r w:rsidRPr="003F1061">
        <w:t>o promote and improve food security at community and household level</w:t>
      </w:r>
    </w:p>
    <w:p w:rsidR="00000000" w:rsidRPr="003F1061" w:rsidP="003F1061">
      <w:pPr>
        <w:pStyle w:val="ListBullet2"/>
      </w:pPr>
      <w:r w:rsidRPr="003F1061">
        <w:t>consulting with a range of stakeholders from different disciplines</w:t>
      </w:r>
    </w:p>
    <w:p w:rsidR="00000000" w:rsidRPr="003F1061" w:rsidP="003F1061">
      <w:pPr>
        <w:pStyle w:val="ListBullet2"/>
      </w:pPr>
      <w:r w:rsidRPr="003F1061">
        <w:t xml:space="preserve">advocating for increased resources and attention to food in the local community, in particular vulnerable households or </w:t>
      </w:r>
      <w:r w:rsidRPr="003F1061">
        <w:t>groups</w:t>
      </w:r>
    </w:p>
    <w:p w:rsidR="00000000" w:rsidRPr="003F1061" w:rsidP="003F1061">
      <w:pPr>
        <w:pStyle w:val="ListBullet2"/>
      </w:pPr>
      <w:r w:rsidRPr="003F1061">
        <w:t>investigating and analysing the relationship between community health issues and available food supply</w:t>
      </w:r>
    </w:p>
    <w:p w:rsidR="00000000" w:rsidRPr="003F1061" w:rsidP="003F1061">
      <w:pPr>
        <w:pStyle w:val="ListBullet2"/>
      </w:pPr>
      <w:r w:rsidRPr="003F1061">
        <w:t>working with a community to propose and develop strategies and action plans to improve community health by addressing food supply practices, polic</w:t>
      </w:r>
      <w:r w:rsidRPr="003F1061">
        <w:t>ies and associated issues</w:t>
      </w:r>
    </w:p>
    <w:p w:rsidR="00000000" w:rsidRPr="003F1061" w:rsidP="003F1061">
      <w:pPr>
        <w:pStyle w:val="ListBullet2"/>
      </w:pPr>
      <w:r w:rsidRPr="003F1061">
        <w:t>communicating effectively with individuals and groups, including:</w:t>
      </w:r>
    </w:p>
    <w:p w:rsidR="00000000" w:rsidRPr="003F1061" w:rsidP="003F1061">
      <w:pPr>
        <w:pStyle w:val="ListBullet3"/>
      </w:pPr>
      <w:r w:rsidRPr="003F1061">
        <w:t>clarifying and discussing issues relating to food supply, systems and security</w:t>
      </w:r>
    </w:p>
    <w:p w:rsidR="00000000" w:rsidRPr="003F1061" w:rsidP="003F1061">
      <w:pPr>
        <w:pStyle w:val="ListBullet3"/>
      </w:pPr>
      <w:r w:rsidRPr="003F1061">
        <w:t>presenting and discussing evidence-based actions and strategies to improve food security and nutrition.</w:t>
      </w:r>
    </w:p>
    <w:p w:rsidR="00000000" w:rsidRPr="003F1061" w:rsidP="003F1061">
      <w:pPr>
        <w:pStyle w:val="AllowPageBreak"/>
      </w:pPr>
    </w:p>
    <w:p w:rsidR="00000000" w:rsidRPr="003F1061" w:rsidP="003F1061">
      <w:pPr>
        <w:pStyle w:val="Heading1"/>
      </w:pPr>
      <w:bookmarkStart w:id="3" w:name="O_745491"/>
      <w:bookmarkEnd w:id="3"/>
      <w:r w:rsidRPr="003F1061">
        <w:t>Knowledge Evidence</w:t>
      </w:r>
    </w:p>
    <w:p w:rsidR="00000000" w:rsidRPr="003F1061" w:rsidP="000163B5">
      <w:pPr>
        <w:pStyle w:val="BodyText"/>
      </w:pPr>
      <w:r w:rsidRPr="003F1061">
        <w:t>The candidate must be able to demonstrate essential knowledge required to effectively do the task outlined in elemen</w:t>
      </w:r>
      <w:r w:rsidRPr="003F1061">
        <w:t>ts and performance criteria of this unit, manage the task and manage contingencies in the context of the identified work role.</w:t>
      </w:r>
    </w:p>
    <w:p w:rsidR="00000000" w:rsidRPr="003F1061" w:rsidP="000163B5">
      <w:pPr>
        <w:pStyle w:val="BodyText"/>
      </w:pPr>
      <w:r w:rsidRPr="003F1061">
        <w:t>This includes knowledge of:</w:t>
      </w:r>
    </w:p>
    <w:p w:rsidR="00000000" w:rsidRPr="003F1061" w:rsidP="003F1061">
      <w:pPr>
        <w:pStyle w:val="ListBullet"/>
      </w:pPr>
      <w:r w:rsidRPr="003F1061">
        <w:t>the concept of ‘food security’ and ‘food insecurity’ and its relevance to Aboriginal and Torres Str</w:t>
      </w:r>
      <w:r w:rsidRPr="003F1061">
        <w:t>ait Islander people and the context in which people are living</w:t>
      </w:r>
    </w:p>
    <w:p w:rsidR="00000000" w:rsidRPr="003F1061" w:rsidP="003F1061">
      <w:pPr>
        <w:pStyle w:val="ListBullet"/>
      </w:pPr>
      <w:r w:rsidRPr="003F1061">
        <w:t>underlying determinants and consequences of food insecurity</w:t>
      </w:r>
    </w:p>
    <w:p w:rsidR="00000000" w:rsidRPr="003F1061" w:rsidP="003F1061">
      <w:pPr>
        <w:pStyle w:val="ListBullet"/>
      </w:pPr>
      <w:r w:rsidRPr="003F1061">
        <w:t>core food groups and their nutrients</w:t>
      </w:r>
    </w:p>
    <w:p w:rsidR="00000000" w:rsidRPr="003F1061" w:rsidP="003F1061">
      <w:pPr>
        <w:pStyle w:val="ListBullet"/>
      </w:pPr>
      <w:r w:rsidRPr="003F1061">
        <w:t>food needed at different stages in the lifecycle for wellbeing</w:t>
      </w:r>
    </w:p>
    <w:p w:rsidR="00000000" w:rsidRPr="003F1061" w:rsidP="003F1061">
      <w:pPr>
        <w:pStyle w:val="ListBullet"/>
      </w:pPr>
      <w:r w:rsidRPr="003F1061">
        <w:t>different factors (i.e. social, c</w:t>
      </w:r>
      <w:r w:rsidRPr="003F1061">
        <w:t>ultural, economic and environmental) that impact on food availability, food access and food use at the global, national, community and household level</w:t>
      </w:r>
    </w:p>
    <w:p w:rsidR="00000000" w:rsidRPr="003F1061" w:rsidP="003F1061">
      <w:pPr>
        <w:pStyle w:val="ListBullet"/>
      </w:pPr>
      <w:r w:rsidRPr="003F1061">
        <w:t>food insecurity-related community health issues</w:t>
      </w:r>
    </w:p>
    <w:p w:rsidR="00000000" w:rsidRPr="003F1061" w:rsidP="003F1061">
      <w:pPr>
        <w:pStyle w:val="ListBullet"/>
      </w:pPr>
      <w:r w:rsidRPr="003F1061">
        <w:t>preventative health and community engagement principles</w:t>
      </w:r>
    </w:p>
    <w:p w:rsidR="00000000" w:rsidRPr="003F1061" w:rsidP="003F1061">
      <w:pPr>
        <w:pStyle w:val="ListBullet"/>
      </w:pPr>
      <w:r w:rsidRPr="003F1061">
        <w:t>continuous quality improvement</w:t>
      </w:r>
    </w:p>
    <w:p w:rsidR="00000000" w:rsidRPr="003F1061" w:rsidP="003F1061">
      <w:pPr>
        <w:pStyle w:val="ListBullet"/>
      </w:pPr>
      <w:r w:rsidRPr="003F1061">
        <w:t>evidence-based practice and sustainable approaches to improving food security in the local context</w:t>
      </w:r>
    </w:p>
    <w:p w:rsidR="00000000" w:rsidRPr="003F1061" w:rsidP="003F1061">
      <w:pPr>
        <w:pStyle w:val="ListBullet"/>
      </w:pPr>
      <w:r w:rsidRPr="003F1061">
        <w:t>Australian Dietary Guidelines and World Health Organisation recommendations impacting on the needs of everyday basic necessiti</w:t>
      </w:r>
      <w:r w:rsidRPr="003F1061">
        <w:t>es for life and living for Aboriginal and Torres Strait Islander people.</w:t>
      </w:r>
    </w:p>
    <w:p w:rsidR="00000000" w:rsidRPr="003F1061" w:rsidP="003F1061">
      <w:pPr>
        <w:pStyle w:val="AllowPageBreak"/>
      </w:pPr>
    </w:p>
    <w:p w:rsidR="00000000" w:rsidRPr="003F1061" w:rsidP="003F1061">
      <w:pPr>
        <w:pStyle w:val="Heading1"/>
      </w:pPr>
      <w:bookmarkStart w:id="4" w:name="O_745490"/>
      <w:bookmarkEnd w:id="4"/>
      <w:r w:rsidRPr="003F1061">
        <w:t>Assessment Conditions</w:t>
      </w:r>
    </w:p>
    <w:p w:rsidR="00000000" w:rsidRPr="003F1061" w:rsidP="000163B5">
      <w:pPr>
        <w:pStyle w:val="BodyText"/>
      </w:pPr>
      <w:r w:rsidRPr="003F1061">
        <w:t>Skills must be demonstrated working:</w:t>
      </w:r>
    </w:p>
    <w:p w:rsidR="00000000" w:rsidRPr="003F1061" w:rsidP="003F1061">
      <w:pPr>
        <w:pStyle w:val="ListBullet"/>
      </w:pPr>
      <w:r w:rsidRPr="003F1061">
        <w:t>in a health service or centre</w:t>
      </w:r>
    </w:p>
    <w:p w:rsidR="00000000" w:rsidRPr="003F1061" w:rsidP="003F1061">
      <w:pPr>
        <w:pStyle w:val="ListBullet"/>
      </w:pPr>
      <w:r w:rsidRPr="003F1061">
        <w:t xml:space="preserve">individually or as a member of a multidisciplinary primary health care team </w:t>
      </w:r>
    </w:p>
    <w:p w:rsidR="00000000" w:rsidRPr="003F1061" w:rsidP="003F1061">
      <w:pPr>
        <w:pStyle w:val="ListBullet"/>
      </w:pPr>
      <w:r w:rsidRPr="003F1061">
        <w:t xml:space="preserve">with Aboriginal and/or Torres Strait Islander clients and communities. </w:t>
      </w:r>
    </w:p>
    <w:p w:rsidR="00000000" w:rsidRPr="003F1061" w:rsidP="003F1061">
      <w:pPr>
        <w:pStyle w:val="BodyText"/>
      </w:pPr>
    </w:p>
    <w:p w:rsidR="00000000" w:rsidRPr="003F1061" w:rsidP="000163B5">
      <w:pPr>
        <w:pStyle w:val="BodyText"/>
      </w:pPr>
      <w:r w:rsidRPr="003F1061">
        <w:t>In addition, simulations and scenarios must be used where the full range of contexts and situations cannot be provided in the workplace or may occur only rarely. These are situations</w:t>
      </w:r>
      <w:r w:rsidRPr="003F1061">
        <w:t xml:space="preserve"> relating to emergency or unplanned procedures where assessment in these circumstances would be unsafe or is impractical. </w:t>
      </w:r>
    </w:p>
    <w:p w:rsidR="00000000" w:rsidRPr="003F1061" w:rsidP="000163B5">
      <w:pPr>
        <w:pStyle w:val="BodyText"/>
      </w:pPr>
      <w:r w:rsidRPr="003F1061">
        <w:t>Simulated assessment environments must simulate the real-life working environment where these skills and knowledge would be performe</w:t>
      </w:r>
      <w:r w:rsidRPr="003F1061">
        <w:t>d, with all the relevant equipment and resources of that working environment.</w:t>
      </w:r>
    </w:p>
    <w:p w:rsidR="00000000" w:rsidRPr="003F1061" w:rsidP="000163B5">
      <w:pPr>
        <w:pStyle w:val="BodyText"/>
      </w:pPr>
      <w:r w:rsidRPr="003F1061">
        <w:t>Assessors must satisfy the Standards for Registered Training Organisations (RTOs) 2015/AQTF mandatory competency requirements for assessors.</w:t>
      </w:r>
    </w:p>
    <w:p w:rsidR="00000000" w:rsidRPr="003F1061" w:rsidP="000163B5">
      <w:pPr>
        <w:pStyle w:val="BodyText"/>
      </w:pPr>
      <w:r w:rsidRPr="003F1061">
        <w:t>Assessment must be undertaken by a</w:t>
      </w:r>
      <w:r w:rsidRPr="003F1061">
        <w:t xml:space="preserve"> workplace assessor who has expertise in this unit of competency and who is:</w:t>
      </w:r>
    </w:p>
    <w:p w:rsidR="00000000" w:rsidRPr="003F1061" w:rsidP="000163B5">
      <w:pPr>
        <w:pStyle w:val="BodyText"/>
      </w:pPr>
      <w:r w:rsidRPr="003F1061">
        <w:t>an Aboriginal and/or Torres Strait Islander Health Worker</w:t>
      </w:r>
    </w:p>
    <w:p w:rsidR="00000000" w:rsidRPr="003F1061" w:rsidP="000163B5">
      <w:pPr>
        <w:pStyle w:val="BodyText"/>
      </w:pPr>
      <w:r w:rsidRPr="003F1061">
        <w:t>or:</w:t>
      </w:r>
    </w:p>
    <w:p w:rsidR="00000000" w:rsidRPr="003F1061" w:rsidP="000163B5">
      <w:pPr>
        <w:pStyle w:val="BodyText"/>
      </w:pPr>
      <w:r w:rsidRPr="003F1061">
        <w:t>accompanied by an Aboriginal and/or Torres Strait Islander person who is a recognised member of the community with ex</w:t>
      </w:r>
      <w:r w:rsidRPr="003F1061">
        <w:t>perience in primary health care.</w:t>
      </w:r>
    </w:p>
    <w:p w:rsidR="00000000" w:rsidRPr="003F1061" w:rsidP="003F1061">
      <w:pPr>
        <w:pStyle w:val="Heading1"/>
      </w:pPr>
      <w:bookmarkStart w:id="5" w:name="O_745501"/>
      <w:bookmarkEnd w:id="5"/>
      <w:r w:rsidRPr="003F1061">
        <w:t>Links</w:t>
      </w:r>
    </w:p>
    <w:p w:rsidR="00000000" w:rsidRPr="003F1061" w:rsidP="000163B5">
      <w:pPr>
        <w:pStyle w:val="BodyText"/>
      </w:pPr>
      <w:r w:rsidRPr="003F1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E11A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1061" w:rsidP="003F1061"/>
    <w:sectPr w:rsidSect="003F1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1" w:rsidRPr="000163B5" w:rsidP="00016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B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061" w:rsidRPr="000163B5" w:rsidP="00016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B5" w:rsidRPr="002D2AF8" w:rsidP="003F1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HLTAHW053 Address impact of food security on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163B5" w:rsidP="003F1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E7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7C9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E0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061"/>
  </w:style>
  <w:style w:type="character" w:customStyle="1" w:styleId="Heading1Char">
    <w:name w:val="Heading 1 Char"/>
    <w:basedOn w:val="DefaultParagraphFont"/>
    <w:link w:val="Heading1"/>
    <w:rsid w:val="003F1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0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061"/>
    <w:rPr>
      <w:b/>
      <w:spacing w:val="0"/>
    </w:rPr>
  </w:style>
  <w:style w:type="paragraph" w:styleId="ListBullet2">
    <w:name w:val="List Bullet 2"/>
    <w:basedOn w:val="List2"/>
    <w:rsid w:val="003F10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1061"/>
    <w:rPr>
      <w:i/>
    </w:rPr>
  </w:style>
  <w:style w:type="paragraph" w:customStyle="1" w:styleId="SuperHeading">
    <w:name w:val="SuperHeading"/>
    <w:basedOn w:val="Normal"/>
    <w:rsid w:val="003F1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10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1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061"/>
  </w:style>
  <w:style w:type="paragraph" w:styleId="TableofFigures">
    <w:name w:val="table of figures"/>
    <w:basedOn w:val="Normal"/>
    <w:next w:val="Normal"/>
    <w:semiHidden/>
    <w:rsid w:val="003F1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0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1061"/>
    <w:rPr>
      <w:rFonts w:ascii="Wingdings" w:hAnsi="Wingdings"/>
    </w:rPr>
  </w:style>
  <w:style w:type="paragraph" w:customStyle="1" w:styleId="TableHeading">
    <w:name w:val="Table Heading"/>
    <w:basedOn w:val="HeadingBase"/>
    <w:rsid w:val="003F1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061"/>
    <w:rPr>
      <w:color w:val="0033CC"/>
      <w:u w:val="none"/>
    </w:rPr>
  </w:style>
  <w:style w:type="paragraph" w:customStyle="1" w:styleId="BodyTextRight">
    <w:name w:val="Body Text Right"/>
    <w:basedOn w:val="BodyText"/>
    <w:rsid w:val="003F1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0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061"/>
    <w:rPr>
      <w:sz w:val="32"/>
    </w:rPr>
  </w:style>
  <w:style w:type="paragraph" w:customStyle="1" w:styleId="HeadingProcedure">
    <w:name w:val="Heading Procedure"/>
    <w:basedOn w:val="HeadingBase"/>
    <w:next w:val="Normal"/>
    <w:rsid w:val="003F1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061"/>
    <w:pPr>
      <w:spacing w:before="60" w:after="60"/>
    </w:pPr>
  </w:style>
  <w:style w:type="paragraph" w:styleId="ListContinue">
    <w:name w:val="List Continue"/>
    <w:basedOn w:val="List"/>
    <w:rsid w:val="003F1061"/>
    <w:pPr>
      <w:ind w:firstLine="0"/>
    </w:pPr>
  </w:style>
  <w:style w:type="paragraph" w:customStyle="1" w:styleId="ListNote">
    <w:name w:val="List Note"/>
    <w:basedOn w:val="List"/>
    <w:rsid w:val="003F1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061"/>
    <w:rPr>
      <w:rFonts w:ascii="Courier New" w:hAnsi="Courier New"/>
    </w:rPr>
  </w:style>
  <w:style w:type="paragraph" w:customStyle="1" w:styleId="NoteBullet">
    <w:name w:val="Note Bullet"/>
    <w:basedOn w:val="Note"/>
    <w:rsid w:val="003F1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0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1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061"/>
    <w:rPr>
      <w:b/>
      <w:smallCaps/>
    </w:rPr>
  </w:style>
  <w:style w:type="paragraph" w:customStyle="1" w:styleId="TableListNumber">
    <w:name w:val="Table List Number"/>
    <w:basedOn w:val="ListNumber"/>
    <w:rsid w:val="003F1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061"/>
    <w:pPr>
      <w:numPr>
        <w:numId w:val="10"/>
      </w:numPr>
    </w:pPr>
  </w:style>
  <w:style w:type="paragraph" w:customStyle="1" w:styleId="ListAlpha2">
    <w:name w:val="List Alpha 2"/>
    <w:basedOn w:val="List2"/>
    <w:rsid w:val="003F1061"/>
    <w:pPr>
      <w:numPr>
        <w:numId w:val="9"/>
      </w:numPr>
    </w:pPr>
  </w:style>
  <w:style w:type="paragraph" w:styleId="List2">
    <w:name w:val="List 2"/>
    <w:basedOn w:val="BodyText"/>
    <w:rsid w:val="003F1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0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10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1061"/>
    <w:pPr>
      <w:numPr>
        <w:numId w:val="5"/>
      </w:numPr>
    </w:pPr>
  </w:style>
  <w:style w:type="paragraph" w:styleId="ListContinue2">
    <w:name w:val="List Continue 2"/>
    <w:basedOn w:val="List2"/>
    <w:rsid w:val="003F1061"/>
    <w:pPr>
      <w:ind w:firstLine="0"/>
    </w:pPr>
  </w:style>
  <w:style w:type="paragraph" w:styleId="ListContinue3">
    <w:name w:val="List Continue 3"/>
    <w:basedOn w:val="List3"/>
    <w:rsid w:val="003F1061"/>
    <w:pPr>
      <w:ind w:left="1021" w:firstLine="0"/>
    </w:pPr>
  </w:style>
  <w:style w:type="paragraph" w:styleId="ListContinue4">
    <w:name w:val="List Continue 4"/>
    <w:basedOn w:val="List4"/>
    <w:rsid w:val="003F1061"/>
    <w:pPr>
      <w:ind w:firstLine="0"/>
    </w:pPr>
  </w:style>
  <w:style w:type="paragraph" w:styleId="ListContinue5">
    <w:name w:val="List Continue 5"/>
    <w:basedOn w:val="List5"/>
    <w:rsid w:val="003F1061"/>
    <w:pPr>
      <w:ind w:firstLine="0"/>
    </w:pPr>
  </w:style>
  <w:style w:type="paragraph" w:styleId="ListNumber3">
    <w:name w:val="List Number 3"/>
    <w:basedOn w:val="List3"/>
    <w:rsid w:val="003F1061"/>
    <w:pPr>
      <w:numPr>
        <w:numId w:val="6"/>
      </w:numPr>
    </w:pPr>
  </w:style>
  <w:style w:type="paragraph" w:styleId="ListNumber4">
    <w:name w:val="List Number 4"/>
    <w:basedOn w:val="List4"/>
    <w:rsid w:val="003F1061"/>
    <w:pPr>
      <w:numPr>
        <w:numId w:val="7"/>
      </w:numPr>
    </w:pPr>
  </w:style>
  <w:style w:type="paragraph" w:styleId="ListNumber5">
    <w:name w:val="List Number 5"/>
    <w:basedOn w:val="List5"/>
    <w:rsid w:val="003F1061"/>
    <w:pPr>
      <w:numPr>
        <w:numId w:val="8"/>
      </w:numPr>
    </w:pPr>
  </w:style>
  <w:style w:type="paragraph" w:styleId="BlockText">
    <w:name w:val="Block Text"/>
    <w:basedOn w:val="Normal"/>
    <w:rsid w:val="003F1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061"/>
    <w:rPr>
      <w:sz w:val="16"/>
      <w:vertAlign w:val="superscript"/>
    </w:rPr>
  </w:style>
  <w:style w:type="character" w:customStyle="1" w:styleId="Symbols">
    <w:name w:val="Symbols"/>
    <w:basedOn w:val="DefaultParagraphFont"/>
    <w:rsid w:val="003F1061"/>
    <w:rPr>
      <w:rFonts w:ascii="Symbol" w:hAnsi="Symbol"/>
    </w:rPr>
  </w:style>
  <w:style w:type="character" w:customStyle="1" w:styleId="MenuOptions">
    <w:name w:val="Menu Options"/>
    <w:basedOn w:val="DefaultParagraphFont"/>
    <w:rsid w:val="003F1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061"/>
    <w:rPr>
      <w:b/>
    </w:rPr>
  </w:style>
  <w:style w:type="character" w:customStyle="1" w:styleId="Underlined">
    <w:name w:val="Underlined"/>
    <w:basedOn w:val="DefaultParagraphFont"/>
    <w:rsid w:val="003F1061"/>
    <w:rPr>
      <w:u w:val="single"/>
    </w:rPr>
  </w:style>
  <w:style w:type="paragraph" w:customStyle="1" w:styleId="TableBodyTextRight">
    <w:name w:val="Table Body Text Right"/>
    <w:basedOn w:val="TableBodyText"/>
    <w:rsid w:val="003F1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061"/>
    <w:rPr>
      <w:sz w:val="18"/>
    </w:rPr>
  </w:style>
  <w:style w:type="paragraph" w:customStyle="1" w:styleId="BodySmallRight">
    <w:name w:val="Body Small Right"/>
    <w:basedOn w:val="BodyTextRight"/>
    <w:rsid w:val="003F1061"/>
    <w:rPr>
      <w:sz w:val="18"/>
      <w:szCs w:val="18"/>
    </w:rPr>
  </w:style>
  <w:style w:type="paragraph" w:customStyle="1" w:styleId="MarginEdition">
    <w:name w:val="Margin Edition"/>
    <w:basedOn w:val="MarginNote"/>
    <w:rsid w:val="003F1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061"/>
    <w:rPr>
      <w:sz w:val="2"/>
      <w:szCs w:val="2"/>
    </w:rPr>
  </w:style>
  <w:style w:type="character" w:customStyle="1" w:styleId="Small">
    <w:name w:val="Small"/>
    <w:basedOn w:val="DefaultParagraphFont"/>
    <w:rsid w:val="003F1061"/>
    <w:rPr>
      <w:sz w:val="16"/>
    </w:rPr>
  </w:style>
  <w:style w:type="paragraph" w:customStyle="1" w:styleId="WideTable">
    <w:name w:val="Wide Table"/>
    <w:basedOn w:val="Normal"/>
    <w:rsid w:val="003F1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061"/>
  </w:style>
  <w:style w:type="paragraph" w:styleId="Quote">
    <w:name w:val="Quote"/>
    <w:basedOn w:val="Heading1"/>
    <w:link w:val="QuoteChar"/>
    <w:qFormat/>
    <w:rsid w:val="003F1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061"/>
    <w:pPr>
      <w:pageBreakBefore/>
    </w:pPr>
  </w:style>
  <w:style w:type="paragraph" w:customStyle="1" w:styleId="Border">
    <w:name w:val="Border"/>
    <w:basedOn w:val="Normal"/>
    <w:qFormat/>
    <w:rsid w:val="003F1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061"/>
    <w:rPr>
      <w:u w:val="single"/>
    </w:rPr>
  </w:style>
  <w:style w:type="character" w:customStyle="1" w:styleId="BoldandItalics">
    <w:name w:val="Bold and Italics"/>
    <w:qFormat/>
    <w:rsid w:val="003F1061"/>
    <w:rPr>
      <w:b/>
      <w:i/>
      <w:u w:val="none"/>
    </w:rPr>
  </w:style>
  <w:style w:type="paragraph" w:styleId="BalloonText">
    <w:name w:val="Balloon Text"/>
    <w:basedOn w:val="Normal"/>
    <w:link w:val="BalloonTextChar"/>
    <w:rsid w:val="003F1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061"/>
    <w:pPr>
      <w:spacing w:before="0" w:after="0"/>
    </w:pPr>
  </w:style>
  <w:style w:type="paragraph" w:customStyle="1" w:styleId="BodyTextBold">
    <w:name w:val="Body Text Bold"/>
    <w:basedOn w:val="BodyText"/>
    <w:qFormat/>
    <w:rsid w:val="003F1061"/>
    <w:rPr>
      <w:b/>
    </w:rPr>
  </w:style>
  <w:style w:type="character" w:styleId="Hyperlink">
    <w:name w:val="Hyperlink"/>
    <w:basedOn w:val="DefaultParagraphFont"/>
    <w:uiPriority w:val="99"/>
    <w:unhideWhenUsed/>
    <w:rsid w:val="00016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4608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HLTAHW053 Address impact of food security on community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2022-11-24T14:00:00Z</dcterms:created>
  <dcterms:modified xsi:type="dcterms:W3CDTF">2022-11-24T14:00:00Z</dcterms:modified>
</cp:coreProperties>
</file>