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316" w:rsidP="00BD4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HLTAHW049 Work effectively in social and emotional wellbeing</w:t>
      </w:r>
      <w:r>
        <w:fldChar w:fldCharType="end"/>
      </w:r>
    </w:p>
    <w:p w:rsidR="00BD4316" w:rsidP="00BD4316">
      <w:pPr>
        <w:pStyle w:val="Version"/>
        <w:sectPr w:rsidSect="00A51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129E" w:rsidP="00A5129E">
      <w:pPr>
        <w:pStyle w:val="SuperHeading"/>
      </w:pPr>
      <w:r w:rsidRPr="00A5129E">
        <w:t>HLTAHW049 Work effectively in social and emotional wellbeing</w:t>
      </w:r>
    </w:p>
    <w:p w:rsidR="00000000" w:rsidRPr="00A5129E" w:rsidP="00A5129E">
      <w:pPr>
        <w:pStyle w:val="Heading1"/>
      </w:pPr>
      <w:bookmarkStart w:id="1" w:name="O_745443"/>
      <w:bookmarkEnd w:id="1"/>
      <w:r w:rsidRPr="00A51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rPr>
                <w:rStyle w:val="SpecialBold"/>
              </w:rPr>
              <w:t>Comments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Updated:</w:t>
            </w:r>
          </w:p>
          <w:p w:rsidR="00000000" w:rsidRPr="00A5129E" w:rsidP="00A5129E">
            <w:pPr>
              <w:pStyle w:val="ListBullet"/>
            </w:pPr>
            <w:r w:rsidRPr="00A5129E">
              <w:t>assessor requirements statement</w:t>
            </w:r>
          </w:p>
          <w:p w:rsidR="00000000" w:rsidRPr="00A5129E" w:rsidP="00A5129E">
            <w:pPr>
              <w:pStyle w:val="ListBullet"/>
            </w:pPr>
            <w:r w:rsidRPr="00A5129E">
              <w:t>foundation skills lead in statement</w:t>
            </w:r>
          </w:p>
          <w:p w:rsidR="00000000" w:rsidRPr="00A5129E" w:rsidP="00A5129E">
            <w:pPr>
              <w:pStyle w:val="ListBullet"/>
            </w:pPr>
            <w:r w:rsidRPr="00A5129E">
              <w:t>licensing statement</w:t>
            </w:r>
          </w:p>
          <w:p w:rsidR="00000000" w:rsidRPr="00A5129E" w:rsidP="00A5129E">
            <w:pPr>
              <w:pStyle w:val="ListBullet"/>
            </w:pPr>
            <w:r w:rsidRPr="00A5129E">
              <w:t>modification history to reflect 2012 standards</w:t>
            </w:r>
          </w:p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Equivalent outcome.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 xml:space="preserve">This version was released in </w:t>
            </w:r>
            <w:r w:rsidRPr="00A5129E">
              <w:rPr>
                <w:rStyle w:val="Emphasis"/>
              </w:rPr>
              <w:t>HLT Health Training Package release 1.0</w:t>
            </w:r>
            <w:r w:rsidRPr="00A5129E">
              <w:t xml:space="preserve"> and meets the requirements of the 2012 Standards for Training Packages.</w:t>
            </w:r>
          </w:p>
          <w:p w:rsidR="00000000" w:rsidRPr="00A5129E" w:rsidP="00A5129E">
            <w:pPr>
              <w:pStyle w:val="BodyText"/>
            </w:pPr>
            <w:r w:rsidRPr="00A5129E">
              <w:t>Significant changes to elements and performance criteria.</w:t>
            </w:r>
            <w:r w:rsidRPr="00A5129E">
              <w:br/>
              <w:t>New evidence requirements for assessment, including volum</w:t>
            </w:r>
            <w:r w:rsidRPr="00A5129E">
              <w:t>e and environment requirements.</w:t>
            </w:r>
          </w:p>
        </w:tc>
      </w:tr>
    </w:tbl>
    <w:p w:rsidR="00000000" w:rsidRPr="00A5129E" w:rsidP="00A5129E">
      <w:pPr>
        <w:pStyle w:val="BodyText"/>
      </w:pPr>
    </w:p>
    <w:p w:rsidR="00000000" w:rsidRPr="00A5129E" w:rsidP="00A5129E">
      <w:pPr>
        <w:pStyle w:val="AllowPageBreak"/>
      </w:pPr>
    </w:p>
    <w:p w:rsidR="00000000" w:rsidRPr="00A5129E" w:rsidP="00A5129E">
      <w:pPr>
        <w:pStyle w:val="Heading1"/>
      </w:pPr>
      <w:bookmarkStart w:id="2" w:name="O_745442"/>
      <w:bookmarkEnd w:id="2"/>
      <w:r w:rsidRPr="00A5129E">
        <w:t>Application</w:t>
      </w:r>
    </w:p>
    <w:p w:rsidR="00000000" w:rsidRPr="00A5129E" w:rsidP="00BD4316">
      <w:pPr>
        <w:pStyle w:val="BodyText"/>
      </w:pPr>
      <w:r w:rsidRPr="00A5129E">
        <w:t xml:space="preserve">This unit describes the required skills and knowledge as an introduction for an Aboriginal or Torres Strait Islander Health Worker to provide social and emotional wellbeing support. </w:t>
      </w:r>
    </w:p>
    <w:p w:rsidR="00000000" w:rsidRPr="00A5129E" w:rsidP="00BD4316">
      <w:pPr>
        <w:pStyle w:val="BodyText"/>
      </w:pPr>
      <w:r w:rsidRPr="00A5129E">
        <w:t>It address</w:t>
      </w:r>
      <w:r w:rsidRPr="00A5129E">
        <w:t>es the rights and responsibilities of the position, the system in which this work is undertaken, and the professional boundaries and cultural issues relating to this type of work.</w:t>
      </w:r>
    </w:p>
    <w:p w:rsidR="00000000" w:rsidRPr="00A5129E" w:rsidP="00BD4316">
      <w:pPr>
        <w:pStyle w:val="BodyText"/>
      </w:pPr>
      <w:r w:rsidRPr="00A5129E">
        <w:t>The unit applies to those Aboriginal and/or Torres Strait Islander Health W</w:t>
      </w:r>
      <w:r w:rsidRPr="00A5129E">
        <w:t xml:space="preserve">orkers working independently and as part of a multidisciplinary team to deliver primary health care services to Aboriginal and/or Torres Strait Islander clients and communities. </w:t>
      </w:r>
    </w:p>
    <w:p w:rsidR="00BD4316" w:rsidP="00BD4316">
      <w:pPr>
        <w:pStyle w:val="BodyText"/>
      </w:pPr>
      <w:r w:rsidRPr="00A5129E">
        <w:t xml:space="preserve">This unit equips Aboriginal and/or Torres Strait Islander Health Workers to </w:t>
      </w:r>
      <w:r w:rsidRPr="00A5129E">
        <w:t>provide support related to social and emotional wellbeing and does not infer that they are qualified counsellors.</w:t>
      </w:r>
    </w:p>
    <w:p w:rsidR="00BD4316" w:rsidRPr="00BD4316" w:rsidP="00BD4316">
      <w:pPr>
        <w:pStyle w:val="BodyText"/>
        <w:rPr>
          <w:i/>
        </w:rPr>
      </w:pPr>
      <w:r w:rsidRPr="00BD4316">
        <w:rPr>
          <w:rStyle w:val="Emphasis"/>
        </w:rPr>
        <w:t>The skills in this unit must be applied in accordance with Commonwealth and State/Territory legislation, Australian/New Zealand standards an</w:t>
      </w:r>
      <w:r w:rsidRPr="00BD4316">
        <w:rPr>
          <w:rStyle w:val="Emphasis"/>
        </w:rPr>
        <w:t>d industry codes of practice</w:t>
      </w:r>
      <w:r w:rsidRPr="00BD4316">
        <w:rPr>
          <w:i/>
        </w:rPr>
        <w:t>.</w:t>
      </w:r>
    </w:p>
    <w:p w:rsidR="00000000" w:rsidRPr="00A5129E" w:rsidP="00A5129E">
      <w:pPr>
        <w:pStyle w:val="Heading1"/>
      </w:pPr>
      <w:bookmarkStart w:id="3" w:name="O_745441"/>
      <w:bookmarkEnd w:id="3"/>
      <w:r w:rsidRPr="00A512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rPr>
                <w:rStyle w:val="SpecialBold"/>
              </w:rPr>
              <w:t>PERFORMANCE CRITERIA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1. Work within the context of social and emotional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1.1</w:t>
            </w:r>
            <w:r w:rsidRPr="00A5129E">
              <w:tab/>
              <w:t>Acknowledge differences between roles of social and emotional wellbeing workers and Aboriginal Primary Health Care workers as appropriate</w:t>
            </w:r>
          </w:p>
          <w:p w:rsidR="00000000" w:rsidRPr="00A5129E" w:rsidP="00A5129E">
            <w:pPr>
              <w:pStyle w:val="BodyText"/>
            </w:pPr>
            <w:r w:rsidRPr="00A5129E">
              <w:t>1.2</w:t>
            </w:r>
            <w:r w:rsidRPr="00A5129E">
              <w:tab/>
              <w:t>Identify difficulties that the worker may encou</w:t>
            </w:r>
            <w:r w:rsidRPr="00A5129E">
              <w:t>nter in carrying out their role in the community and take into consideration in the work</w:t>
            </w:r>
          </w:p>
          <w:p w:rsidR="00000000" w:rsidRPr="00A5129E" w:rsidP="00A5129E">
            <w:pPr>
              <w:pStyle w:val="BodyText"/>
            </w:pPr>
            <w:r w:rsidRPr="00A5129E">
              <w:t>1.3</w:t>
            </w:r>
            <w:r w:rsidRPr="00A5129E">
              <w:tab/>
              <w:t>Take into account the changing role of females and males within Aboriginal and Torres Strait Islander communities, in service delivery</w:t>
            </w:r>
          </w:p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1.4</w:t>
            </w:r>
            <w:r w:rsidRPr="00A5129E">
              <w:tab/>
              <w:t>Work within the role and</w:t>
            </w:r>
            <w:r w:rsidRPr="00A5129E">
              <w:t xml:space="preserve"> limitations of the worker’s job definition and community expectations of their role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2. Work within the legal and ethical boundaries of the social and emotional wellbeing worker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2.1</w:t>
            </w:r>
            <w:r w:rsidRPr="00A5129E">
              <w:tab/>
              <w:t>Complete documentation in accordance with legal and ethical requiremen</w:t>
            </w:r>
            <w:r w:rsidRPr="00A5129E">
              <w:t>ts</w:t>
            </w:r>
          </w:p>
          <w:p w:rsidR="00000000" w:rsidRPr="00A5129E" w:rsidP="00A5129E">
            <w:pPr>
              <w:pStyle w:val="BodyText"/>
            </w:pPr>
            <w:r w:rsidRPr="00A5129E">
              <w:t>2.2</w:t>
            </w:r>
            <w:r w:rsidRPr="00A5129E">
              <w:tab/>
              <w:t>Maintain confidentiality in accordance with organisational policies and protocols</w:t>
            </w:r>
          </w:p>
          <w:p w:rsidR="00000000" w:rsidRPr="00A5129E" w:rsidP="00A5129E">
            <w:pPr>
              <w:pStyle w:val="BodyText"/>
            </w:pPr>
            <w:r w:rsidRPr="00A5129E">
              <w:t>2.3</w:t>
            </w:r>
            <w:r w:rsidRPr="00A5129E">
              <w:tab/>
              <w:t>Include traditional healers in the health team as appropriate</w:t>
            </w:r>
          </w:p>
          <w:p w:rsidR="00000000" w:rsidRPr="00A5129E" w:rsidP="00A5129E">
            <w:pPr>
              <w:pStyle w:val="BodyText"/>
            </w:pPr>
            <w:r w:rsidRPr="00A5129E">
              <w:t>2.4</w:t>
            </w:r>
            <w:r w:rsidRPr="00A5129E">
              <w:tab/>
              <w:t>Liaise with other organisations as appropriate</w:t>
            </w:r>
          </w:p>
          <w:p w:rsidR="00000000" w:rsidRPr="00A5129E" w:rsidP="00A5129E">
            <w:pPr>
              <w:pStyle w:val="BodyText"/>
            </w:pPr>
            <w:r w:rsidRPr="00A5129E">
              <w:t>2.5</w:t>
            </w:r>
            <w:r w:rsidRPr="00A5129E">
              <w:tab/>
            </w:r>
            <w:r w:rsidRPr="00A5129E">
              <w:t>Consider the rights of the individual in all work undertaken within the social and emotional wellbeing area</w:t>
            </w:r>
          </w:p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2.6</w:t>
            </w:r>
            <w:r w:rsidRPr="00A5129E">
              <w:tab/>
              <w:t>Carry out duties within the Mental Health Act (or equivalent) as required for social and emotional wellbeing work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3. Maintain accountability</w:t>
            </w:r>
            <w:r w:rsidRPr="00A5129E">
              <w:t xml:space="preserve"> and responsibilities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3.1</w:t>
            </w:r>
            <w:r w:rsidRPr="00A5129E">
              <w:tab/>
              <w:t xml:space="preserve">Access and work in accordance with organisation policies and procedures in regard to workers </w:t>
            </w:r>
          </w:p>
          <w:p w:rsidR="00000000" w:rsidRPr="00A5129E" w:rsidP="00A5129E">
            <w:pPr>
              <w:pStyle w:val="BodyText"/>
            </w:pPr>
            <w:r w:rsidRPr="00A5129E">
              <w:t>3.2</w:t>
            </w:r>
            <w:r w:rsidRPr="00A5129E">
              <w:tab/>
              <w:t>Undertake all work within the organisation’s reporting and accountability frameworks</w:t>
            </w:r>
          </w:p>
          <w:p w:rsidR="00000000" w:rsidRPr="00A5129E" w:rsidP="00A5129E">
            <w:pPr>
              <w:pStyle w:val="BodyText"/>
            </w:pPr>
            <w:r w:rsidRPr="00A5129E">
              <w:t>3.3</w:t>
            </w:r>
            <w:r w:rsidRPr="00A5129E">
              <w:tab/>
              <w:t>Follow organisation occupational health and</w:t>
            </w:r>
            <w:r w:rsidRPr="00A5129E">
              <w:t xml:space="preserve"> safety guidelines </w:t>
            </w:r>
          </w:p>
          <w:p w:rsidR="00000000" w:rsidRPr="00A5129E" w:rsidP="00A5129E">
            <w:pPr>
              <w:pStyle w:val="BodyText"/>
            </w:pPr>
            <w:r w:rsidRPr="00A5129E">
              <w:t>3.4</w:t>
            </w:r>
            <w:r w:rsidRPr="00A5129E">
              <w:tab/>
              <w:t>Access information to clarify the employer’s responsibilities to the worker</w:t>
            </w:r>
          </w:p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3.5</w:t>
            </w:r>
            <w:r w:rsidRPr="00A5129E">
              <w:tab/>
              <w:t>Observe organisation requirements for participation in processes as appropriate (e.g. in regard to performance appraisal systems)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4. Observe profess</w:t>
            </w:r>
            <w:r w:rsidRPr="00A5129E">
              <w:t xml:space="preserve">ional boundaries when working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4.1</w:t>
            </w:r>
            <w:r w:rsidRPr="00A5129E">
              <w:tab/>
              <w:t>Define, understand and communicate professional boundaries to clients in a culturally appropriate manner</w:t>
            </w:r>
          </w:p>
          <w:p w:rsidR="00000000" w:rsidRPr="00A5129E" w:rsidP="00A5129E">
            <w:pPr>
              <w:pStyle w:val="BodyText"/>
            </w:pPr>
            <w:r w:rsidRPr="00A5129E">
              <w:t>4.2</w:t>
            </w:r>
            <w:r w:rsidRPr="00A5129E">
              <w:tab/>
              <w:t>Maintain confidentiality when working with clients and other agencies</w:t>
            </w:r>
          </w:p>
          <w:p w:rsidR="00000000" w:rsidRPr="00A5129E" w:rsidP="00A5129E">
            <w:pPr>
              <w:pStyle w:val="BodyText"/>
            </w:pPr>
            <w:r w:rsidRPr="00A5129E">
              <w:t>4.3</w:t>
            </w:r>
            <w:r w:rsidRPr="00A5129E">
              <w:tab/>
              <w:t>Observe organisational boundaries when</w:t>
            </w:r>
            <w:r w:rsidRPr="00A5129E">
              <w:t xml:space="preserve"> working with clients and other agencies</w:t>
            </w:r>
          </w:p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>4.4</w:t>
            </w:r>
            <w:r w:rsidRPr="00A5129E">
              <w:tab/>
              <w:t>Clarify organisation expectations with particular regard to the professional and personal boundaries in social and emotional wellbeing work in relation to counselling other staff, or advising management on staff</w:t>
            </w:r>
            <w:r w:rsidRPr="00A5129E">
              <w:t xml:space="preserve"> counselling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t xml:space="preserve">5. Demonstrate commitment to the philosophy of social and emotional wellbeing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5.1</w:t>
            </w:r>
            <w:r w:rsidRPr="00A5129E">
              <w:tab/>
              <w:t xml:space="preserve">Demonstrate in all work undertaken, understanding and consideration of the underpinning values and philosophy of social and emotional wellbeing </w:t>
            </w:r>
            <w:r w:rsidRPr="00A5129E">
              <w:t>in the context of Aboriginal and/or Torres Strait Islander health work</w:t>
            </w:r>
          </w:p>
          <w:p w:rsidR="00000000" w:rsidRPr="00A5129E" w:rsidP="00A5129E">
            <w:pPr>
              <w:pStyle w:val="BodyText"/>
            </w:pPr>
            <w:r w:rsidRPr="00A5129E">
              <w:t>5.2</w:t>
            </w:r>
            <w:r w:rsidRPr="00A5129E">
              <w:tab/>
              <w:t>Maintain in all work undertaken, a demonstrated commitment to the empowerment of Aboriginal and/or Torres Strait Islander people and access and equity principles</w:t>
            </w:r>
          </w:p>
          <w:p w:rsidR="00000000" w:rsidRPr="00A5129E" w:rsidP="00A5129E">
            <w:pPr>
              <w:pStyle w:val="BodyText"/>
            </w:pPr>
            <w:r w:rsidRPr="00A5129E">
              <w:t>5.3</w:t>
            </w:r>
            <w:r w:rsidRPr="00A5129E">
              <w:tab/>
              <w:t>Give clients, f</w:t>
            </w:r>
            <w:r w:rsidRPr="00A5129E">
              <w:t>amily and community opportunities to participate in service planning and support activities</w:t>
            </w:r>
          </w:p>
          <w:p w:rsidR="00000000" w:rsidRPr="00A5129E" w:rsidP="00A5129E">
            <w:pPr>
              <w:pStyle w:val="BodyText"/>
            </w:pPr>
            <w:r w:rsidRPr="00A5129E">
              <w:t>5.4</w:t>
            </w:r>
            <w:r w:rsidRPr="00A5129E">
              <w:tab/>
              <w:t xml:space="preserve">Plan and implement social and emotional wellbeing work taking into account personal values, history, experiences and family/kinship </w:t>
            </w:r>
          </w:p>
        </w:tc>
      </w:tr>
    </w:tbl>
    <w:p w:rsidR="00BD4316" w:rsidP="00A5129E">
      <w:pPr>
        <w:pStyle w:val="BodyText"/>
      </w:pPr>
    </w:p>
    <w:p w:rsidR="00BD4316" w:rsidP="00A5129E">
      <w:pPr>
        <w:pStyle w:val="BodyText"/>
      </w:pPr>
    </w:p>
    <w:p w:rsidR="00000000" w:rsidRPr="00A5129E" w:rsidP="00A5129E">
      <w:pPr>
        <w:pStyle w:val="Heading1"/>
      </w:pPr>
      <w:bookmarkStart w:id="4" w:name="O_745440"/>
      <w:bookmarkEnd w:id="4"/>
      <w:r w:rsidRPr="00A5129E">
        <w:t>Foundat</w:t>
      </w:r>
      <w:r w:rsidRPr="00A5129E">
        <w:t>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9E">
            <w:pPr>
              <w:pStyle w:val="BodyText"/>
              <w:rPr>
                <w:lang w:val="en-NZ"/>
              </w:rPr>
            </w:pPr>
            <w:r w:rsidRPr="00A5129E">
              <w:rPr>
                <w:rStyle w:val="Emphasis"/>
              </w:rPr>
              <w:t xml:space="preserve">The Foundation Skills describe those required skills (language, literacy, numeracy and </w:t>
            </w:r>
            <w:r w:rsidRPr="00A5129E">
              <w:t xml:space="preserve">employment </w:t>
            </w:r>
            <w:r w:rsidRPr="00A5129E">
              <w:rPr>
                <w:rStyle w:val="Emphasis"/>
              </w:rPr>
              <w:t>skills) that are essential to performance.</w:t>
            </w:r>
          </w:p>
        </w:tc>
      </w:tr>
      <w:tr w:rsidTr="00A51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9E" w:rsidP="00A5129E">
            <w:pPr>
              <w:pStyle w:val="BodyText"/>
            </w:pPr>
            <w:r w:rsidRPr="00A5129E">
              <w:t>Foundation skills essential to performance are explicit in the performance criteria of this unit of com</w:t>
            </w:r>
            <w:r w:rsidRPr="00A5129E">
              <w:t>petency.</w:t>
            </w:r>
          </w:p>
        </w:tc>
      </w:tr>
    </w:tbl>
    <w:p w:rsidR="00000000" w:rsidRPr="00A5129E" w:rsidP="00A5129E">
      <w:pPr>
        <w:pStyle w:val="BodyText"/>
      </w:pPr>
    </w:p>
    <w:p w:rsidR="00000000" w:rsidRPr="00A5129E" w:rsidP="00A5129E">
      <w:pPr>
        <w:pStyle w:val="AllowPageBreak"/>
      </w:pPr>
    </w:p>
    <w:p w:rsidR="00000000" w:rsidRPr="00A5129E" w:rsidP="00A5129E">
      <w:pPr>
        <w:pStyle w:val="Heading1"/>
      </w:pPr>
      <w:bookmarkStart w:id="5" w:name="O_745439"/>
      <w:bookmarkEnd w:id="5"/>
      <w:r w:rsidRPr="00A5129E">
        <w:t>Unit Mapping Information</w:t>
      </w:r>
    </w:p>
    <w:p w:rsidR="00BD4316" w:rsidP="00BD4316">
      <w:pPr>
        <w:pStyle w:val="BodyText"/>
      </w:pPr>
      <w:r w:rsidRPr="00A5129E">
        <w:t>No equivalent unit.</w:t>
      </w:r>
    </w:p>
    <w:p w:rsidR="00000000" w:rsidRPr="00A5129E" w:rsidP="00A5129E">
      <w:pPr>
        <w:pStyle w:val="Heading1"/>
      </w:pPr>
      <w:bookmarkStart w:id="6" w:name="O_745444"/>
      <w:bookmarkEnd w:id="6"/>
      <w:r w:rsidRPr="00A5129E">
        <w:t>Links</w:t>
      </w:r>
    </w:p>
    <w:p w:rsidR="00000000" w:rsidRPr="00A5129E" w:rsidP="00BD4316">
      <w:pPr>
        <w:pStyle w:val="BodyText"/>
      </w:pPr>
      <w:r w:rsidRPr="00A51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2147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129E" w:rsidP="00A5129E"/>
    <w:sectPr w:rsidSect="00A512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9E" w:rsidRPr="00BD4316" w:rsidP="00BD4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16" w:rsidP="00A51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316" w:rsidP="00A51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4316" w:rsidP="00A51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29E" w:rsidRPr="00BD4316" w:rsidP="00BD4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16" w:rsidRPr="002D2AF8" w:rsidP="00A51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HLTAHW049 Work effectively in social and emotional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4316" w:rsidP="00A51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C2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E27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29E"/>
  </w:style>
  <w:style w:type="character" w:customStyle="1" w:styleId="Heading1Char">
    <w:name w:val="Heading 1 Char"/>
    <w:basedOn w:val="DefaultParagraphFont"/>
    <w:link w:val="Heading1"/>
    <w:rsid w:val="00A51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2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29E"/>
    <w:rPr>
      <w:b/>
      <w:spacing w:val="0"/>
    </w:rPr>
  </w:style>
  <w:style w:type="character" w:styleId="Emphasis">
    <w:name w:val="Emphasis"/>
    <w:basedOn w:val="DefaultParagraphFont"/>
    <w:qFormat/>
    <w:rsid w:val="00A5129E"/>
    <w:rPr>
      <w:i/>
    </w:rPr>
  </w:style>
  <w:style w:type="paragraph" w:customStyle="1" w:styleId="SuperHeading">
    <w:name w:val="SuperHeading"/>
    <w:basedOn w:val="Normal"/>
    <w:rsid w:val="00A51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2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29E"/>
  </w:style>
  <w:style w:type="paragraph" w:styleId="TableofFigures">
    <w:name w:val="table of figures"/>
    <w:basedOn w:val="Normal"/>
    <w:next w:val="Normal"/>
    <w:semiHidden/>
    <w:rsid w:val="00A51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2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29E"/>
    <w:rPr>
      <w:rFonts w:ascii="Wingdings" w:hAnsi="Wingdings"/>
    </w:rPr>
  </w:style>
  <w:style w:type="paragraph" w:customStyle="1" w:styleId="TableHeading">
    <w:name w:val="Table Heading"/>
    <w:basedOn w:val="HeadingBase"/>
    <w:rsid w:val="00A51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29E"/>
    <w:rPr>
      <w:color w:val="0033CC"/>
      <w:u w:val="none"/>
    </w:rPr>
  </w:style>
  <w:style w:type="paragraph" w:customStyle="1" w:styleId="BodyTextRight">
    <w:name w:val="Body Text Right"/>
    <w:basedOn w:val="BodyText"/>
    <w:rsid w:val="00A51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2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29E"/>
    <w:rPr>
      <w:sz w:val="32"/>
    </w:rPr>
  </w:style>
  <w:style w:type="paragraph" w:customStyle="1" w:styleId="HeadingProcedure">
    <w:name w:val="Heading Procedure"/>
    <w:basedOn w:val="HeadingBase"/>
    <w:next w:val="Normal"/>
    <w:rsid w:val="00A51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29E"/>
    <w:pPr>
      <w:spacing w:before="60" w:after="60"/>
    </w:pPr>
  </w:style>
  <w:style w:type="paragraph" w:styleId="ListContinue">
    <w:name w:val="List Continue"/>
    <w:basedOn w:val="List"/>
    <w:rsid w:val="00A5129E"/>
    <w:pPr>
      <w:ind w:firstLine="0"/>
    </w:pPr>
  </w:style>
  <w:style w:type="paragraph" w:customStyle="1" w:styleId="ListNote">
    <w:name w:val="List Note"/>
    <w:basedOn w:val="List"/>
    <w:rsid w:val="00A51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29E"/>
    <w:rPr>
      <w:rFonts w:ascii="Courier New" w:hAnsi="Courier New"/>
    </w:rPr>
  </w:style>
  <w:style w:type="paragraph" w:customStyle="1" w:styleId="NoteBullet">
    <w:name w:val="Note Bullet"/>
    <w:basedOn w:val="Note"/>
    <w:rsid w:val="00A51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2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29E"/>
    <w:rPr>
      <w:b/>
      <w:smallCaps/>
    </w:rPr>
  </w:style>
  <w:style w:type="paragraph" w:customStyle="1" w:styleId="TableListNumber">
    <w:name w:val="Table List Number"/>
    <w:basedOn w:val="ListNumber"/>
    <w:rsid w:val="00A51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29E"/>
    <w:pPr>
      <w:numPr>
        <w:numId w:val="8"/>
      </w:numPr>
    </w:pPr>
  </w:style>
  <w:style w:type="paragraph" w:customStyle="1" w:styleId="ListAlpha2">
    <w:name w:val="List Alpha 2"/>
    <w:basedOn w:val="List2"/>
    <w:rsid w:val="00A5129E"/>
    <w:pPr>
      <w:numPr>
        <w:numId w:val="7"/>
      </w:numPr>
    </w:pPr>
  </w:style>
  <w:style w:type="paragraph" w:styleId="List2">
    <w:name w:val="List 2"/>
    <w:basedOn w:val="BodyText"/>
    <w:rsid w:val="00A51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2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2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29E"/>
    <w:pPr>
      <w:numPr>
        <w:numId w:val="3"/>
      </w:numPr>
    </w:pPr>
  </w:style>
  <w:style w:type="paragraph" w:styleId="ListContinue2">
    <w:name w:val="List Continue 2"/>
    <w:basedOn w:val="List2"/>
    <w:rsid w:val="00A5129E"/>
    <w:pPr>
      <w:ind w:firstLine="0"/>
    </w:pPr>
  </w:style>
  <w:style w:type="paragraph" w:styleId="ListContinue3">
    <w:name w:val="List Continue 3"/>
    <w:basedOn w:val="List3"/>
    <w:rsid w:val="00A5129E"/>
    <w:pPr>
      <w:ind w:left="1021" w:firstLine="0"/>
    </w:pPr>
  </w:style>
  <w:style w:type="paragraph" w:styleId="ListContinue4">
    <w:name w:val="List Continue 4"/>
    <w:basedOn w:val="List4"/>
    <w:rsid w:val="00A5129E"/>
    <w:pPr>
      <w:ind w:firstLine="0"/>
    </w:pPr>
  </w:style>
  <w:style w:type="paragraph" w:styleId="ListContinue5">
    <w:name w:val="List Continue 5"/>
    <w:basedOn w:val="List5"/>
    <w:rsid w:val="00A5129E"/>
    <w:pPr>
      <w:ind w:firstLine="0"/>
    </w:pPr>
  </w:style>
  <w:style w:type="paragraph" w:styleId="ListNumber3">
    <w:name w:val="List Number 3"/>
    <w:basedOn w:val="List3"/>
    <w:rsid w:val="00A5129E"/>
    <w:pPr>
      <w:numPr>
        <w:numId w:val="4"/>
      </w:numPr>
    </w:pPr>
  </w:style>
  <w:style w:type="paragraph" w:styleId="ListNumber4">
    <w:name w:val="List Number 4"/>
    <w:basedOn w:val="List4"/>
    <w:rsid w:val="00A5129E"/>
    <w:pPr>
      <w:numPr>
        <w:numId w:val="5"/>
      </w:numPr>
    </w:pPr>
  </w:style>
  <w:style w:type="paragraph" w:styleId="ListNumber5">
    <w:name w:val="List Number 5"/>
    <w:basedOn w:val="List5"/>
    <w:rsid w:val="00A5129E"/>
    <w:pPr>
      <w:numPr>
        <w:numId w:val="6"/>
      </w:numPr>
    </w:pPr>
  </w:style>
  <w:style w:type="paragraph" w:styleId="BlockText">
    <w:name w:val="Block Text"/>
    <w:basedOn w:val="Normal"/>
    <w:rsid w:val="00A51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29E"/>
    <w:rPr>
      <w:sz w:val="16"/>
      <w:vertAlign w:val="superscript"/>
    </w:rPr>
  </w:style>
  <w:style w:type="character" w:customStyle="1" w:styleId="Symbols">
    <w:name w:val="Symbols"/>
    <w:basedOn w:val="DefaultParagraphFont"/>
    <w:rsid w:val="00A5129E"/>
    <w:rPr>
      <w:rFonts w:ascii="Symbol" w:hAnsi="Symbol"/>
    </w:rPr>
  </w:style>
  <w:style w:type="character" w:customStyle="1" w:styleId="MenuOptions">
    <w:name w:val="Menu Options"/>
    <w:basedOn w:val="DefaultParagraphFont"/>
    <w:rsid w:val="00A51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29E"/>
    <w:rPr>
      <w:b/>
    </w:rPr>
  </w:style>
  <w:style w:type="character" w:customStyle="1" w:styleId="Underlined">
    <w:name w:val="Underlined"/>
    <w:basedOn w:val="DefaultParagraphFont"/>
    <w:rsid w:val="00A5129E"/>
    <w:rPr>
      <w:u w:val="single"/>
    </w:rPr>
  </w:style>
  <w:style w:type="paragraph" w:customStyle="1" w:styleId="TableBodyTextRight">
    <w:name w:val="Table Body Text Right"/>
    <w:basedOn w:val="TableBodyText"/>
    <w:rsid w:val="00A51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29E"/>
    <w:rPr>
      <w:sz w:val="18"/>
    </w:rPr>
  </w:style>
  <w:style w:type="paragraph" w:customStyle="1" w:styleId="BodySmallRight">
    <w:name w:val="Body Small Right"/>
    <w:basedOn w:val="BodyTextRight"/>
    <w:rsid w:val="00A5129E"/>
    <w:rPr>
      <w:sz w:val="18"/>
      <w:szCs w:val="18"/>
    </w:rPr>
  </w:style>
  <w:style w:type="paragraph" w:customStyle="1" w:styleId="MarginEdition">
    <w:name w:val="Margin Edition"/>
    <w:basedOn w:val="MarginNote"/>
    <w:rsid w:val="00A51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29E"/>
    <w:rPr>
      <w:sz w:val="2"/>
      <w:szCs w:val="2"/>
    </w:rPr>
  </w:style>
  <w:style w:type="character" w:customStyle="1" w:styleId="Small">
    <w:name w:val="Small"/>
    <w:basedOn w:val="DefaultParagraphFont"/>
    <w:rsid w:val="00A5129E"/>
    <w:rPr>
      <w:sz w:val="16"/>
    </w:rPr>
  </w:style>
  <w:style w:type="paragraph" w:customStyle="1" w:styleId="WideTable">
    <w:name w:val="Wide Table"/>
    <w:basedOn w:val="Normal"/>
    <w:rsid w:val="00A51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29E"/>
  </w:style>
  <w:style w:type="paragraph" w:styleId="Quote">
    <w:name w:val="Quote"/>
    <w:basedOn w:val="Heading1"/>
    <w:link w:val="QuoteChar"/>
    <w:qFormat/>
    <w:rsid w:val="00A51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29E"/>
    <w:pPr>
      <w:pageBreakBefore/>
    </w:pPr>
  </w:style>
  <w:style w:type="paragraph" w:customStyle="1" w:styleId="Border">
    <w:name w:val="Border"/>
    <w:basedOn w:val="Normal"/>
    <w:qFormat/>
    <w:rsid w:val="00A51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29E"/>
    <w:rPr>
      <w:u w:val="single"/>
    </w:rPr>
  </w:style>
  <w:style w:type="character" w:customStyle="1" w:styleId="BoldandItalics">
    <w:name w:val="Bold and Italics"/>
    <w:qFormat/>
    <w:rsid w:val="00A5129E"/>
    <w:rPr>
      <w:b/>
      <w:i/>
      <w:u w:val="none"/>
    </w:rPr>
  </w:style>
  <w:style w:type="paragraph" w:styleId="BalloonText">
    <w:name w:val="Balloon Text"/>
    <w:basedOn w:val="Normal"/>
    <w:link w:val="BalloonTextChar"/>
    <w:rsid w:val="00A51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29E"/>
    <w:pPr>
      <w:spacing w:before="0" w:after="0"/>
    </w:pPr>
  </w:style>
  <w:style w:type="paragraph" w:customStyle="1" w:styleId="BodyTextBold">
    <w:name w:val="Body Text Bold"/>
    <w:basedOn w:val="BodyText"/>
    <w:qFormat/>
    <w:rsid w:val="00A5129E"/>
    <w:rPr>
      <w:b/>
    </w:rPr>
  </w:style>
  <w:style w:type="character" w:styleId="Hyperlink">
    <w:name w:val="Hyperlink"/>
    <w:basedOn w:val="DefaultParagraphFont"/>
    <w:uiPriority w:val="99"/>
    <w:unhideWhenUsed/>
    <w:rsid w:val="00BD4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4734</Characters>
  <Application>Microsoft Office Word</Application>
  <DocSecurity>0</DocSecurity>
  <Lines>152</Lines>
  <Paragraphs>74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HLTAHW049 Work effectively in social and emotional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