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A28" w:rsidP="001E7A28">
      <w:pPr>
        <w:pStyle w:val="Title"/>
      </w:pPr>
      <w:r>
        <w:fldChar w:fldCharType="begin"/>
      </w:r>
      <w:r>
        <w:instrText xml:space="preserve"> TITLE   \* MERGEFORMAT </w:instrText>
      </w:r>
      <w:r>
        <w:fldChar w:fldCharType="separate"/>
      </w:r>
      <w:r>
        <w:t>HLTAHW028 Provide information and strategies in chronic condition care</w:t>
      </w:r>
      <w:r>
        <w:fldChar w:fldCharType="end"/>
      </w:r>
    </w:p>
    <w:p w:rsidR="001E7A28" w:rsidP="001E7A28">
      <w:pPr>
        <w:pStyle w:val="Version"/>
        <w:sectPr w:rsidSect="006A72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7249" w:rsidP="006A7249">
      <w:pPr>
        <w:pStyle w:val="SuperHeading"/>
      </w:pPr>
      <w:r w:rsidRPr="006A7249">
        <w:t>HLTAHW028 Provide information and strategies in chronic condition care</w:t>
      </w:r>
    </w:p>
    <w:p w:rsidR="00000000" w:rsidRPr="006A7249" w:rsidP="006A7249">
      <w:pPr>
        <w:pStyle w:val="Heading1"/>
      </w:pPr>
      <w:bookmarkStart w:id="1" w:name="O_745040"/>
      <w:bookmarkEnd w:id="1"/>
      <w:r w:rsidRPr="006A7249">
        <w:t>Modification History</w:t>
      </w:r>
    </w:p>
    <w:tbl>
      <w:tblPr>
        <w:tblW w:w="0" w:type="auto"/>
        <w:tblLayout w:type="fixed"/>
        <w:tblCellMar>
          <w:left w:w="62" w:type="dxa"/>
          <w:right w:w="62" w:type="dxa"/>
        </w:tblCellMar>
        <w:tblLook w:val="0000"/>
      </w:tblPr>
      <w:tblGrid>
        <w:gridCol w:w="3060"/>
        <w:gridCol w:w="6074"/>
      </w:tblGrid>
      <w:tr w:rsidTr="006A724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7249" w:rsidP="006A7249">
            <w:pPr>
              <w:pStyle w:val="BodyText"/>
            </w:pPr>
            <w:r w:rsidRPr="006A724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A7249">
            <w:pPr>
              <w:pStyle w:val="BodyText"/>
              <w:rPr>
                <w:lang w:val="en-NZ"/>
              </w:rPr>
            </w:pPr>
            <w:r w:rsidRPr="006A7249">
              <w:rPr>
                <w:rStyle w:val="SpecialBold"/>
              </w:rPr>
              <w:t>Comments</w:t>
            </w:r>
          </w:p>
        </w:tc>
      </w:tr>
      <w:tr w:rsidTr="006A724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A7249">
            <w:pPr>
              <w:pStyle w:val="BodyText"/>
              <w:rPr>
                <w:lang w:val="en-NZ"/>
              </w:rPr>
            </w:pPr>
            <w:r w:rsidRPr="006A724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A7249" w:rsidP="006A7249">
            <w:pPr>
              <w:pStyle w:val="BodyText"/>
            </w:pPr>
            <w:r w:rsidRPr="006A7249">
              <w:t>Updated:</w:t>
            </w:r>
          </w:p>
          <w:p w:rsidR="00000000" w:rsidRPr="006A7249" w:rsidP="006A7249">
            <w:pPr>
              <w:pStyle w:val="ListBullet"/>
            </w:pPr>
            <w:r w:rsidRPr="006A7249">
              <w:t>assessor requirements statement</w:t>
            </w:r>
          </w:p>
          <w:p w:rsidR="00000000" w:rsidRPr="006A7249" w:rsidP="006A7249">
            <w:pPr>
              <w:pStyle w:val="ListBullet"/>
            </w:pPr>
            <w:r w:rsidRPr="006A7249">
              <w:t>foundation skills lead in statement</w:t>
            </w:r>
          </w:p>
          <w:p w:rsidR="00000000" w:rsidRPr="006A7249" w:rsidP="006A7249">
            <w:pPr>
              <w:pStyle w:val="ListBullet"/>
            </w:pPr>
            <w:r w:rsidRPr="006A7249">
              <w:t>licensing statement</w:t>
            </w:r>
          </w:p>
          <w:p w:rsidR="00000000" w:rsidRPr="006A7249" w:rsidP="006A7249">
            <w:pPr>
              <w:pStyle w:val="ListBullet"/>
            </w:pPr>
            <w:r w:rsidRPr="006A7249">
              <w:t>modification history to reflect 2012 standards</w:t>
            </w:r>
          </w:p>
          <w:p w:rsidR="00000000" w:rsidP="006A7249">
            <w:pPr>
              <w:pStyle w:val="BodyText"/>
              <w:rPr>
                <w:lang w:val="en-NZ"/>
              </w:rPr>
            </w:pPr>
            <w:r w:rsidRPr="006A7249">
              <w:t>Equivalent outcome.</w:t>
            </w:r>
          </w:p>
        </w:tc>
      </w:tr>
      <w:tr w:rsidTr="006A724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A7249">
            <w:pPr>
              <w:pStyle w:val="BodyText"/>
              <w:rPr>
                <w:lang w:val="en-NZ"/>
              </w:rPr>
            </w:pPr>
            <w:r w:rsidRPr="006A724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A7249" w:rsidP="006A7249">
            <w:pPr>
              <w:pStyle w:val="BodyText"/>
            </w:pPr>
            <w:r w:rsidRPr="006A7249">
              <w:t xml:space="preserve">This version was released in </w:t>
            </w:r>
            <w:r w:rsidRPr="006A7249">
              <w:rPr>
                <w:rStyle w:val="Emphasis"/>
              </w:rPr>
              <w:t>HLT Health Training Package release 1.0</w:t>
            </w:r>
            <w:r w:rsidRPr="006A7249">
              <w:t xml:space="preserve"> and meets the requirements of the 2012 Standards for Training Packages.</w:t>
            </w:r>
          </w:p>
          <w:p w:rsidR="00000000" w:rsidRPr="006A7249" w:rsidP="006A7249">
            <w:pPr>
              <w:pStyle w:val="BodyText"/>
            </w:pPr>
            <w:r w:rsidRPr="006A7249">
              <w:t>Significant changes to elements and performance criteria.</w:t>
            </w:r>
            <w:r w:rsidRPr="006A7249">
              <w:br/>
              <w:t>New evidence requirements for assessment, including volume and environment requirements.</w:t>
            </w:r>
          </w:p>
        </w:tc>
      </w:tr>
    </w:tbl>
    <w:p w:rsidR="00000000" w:rsidRPr="006A7249" w:rsidP="006A7249">
      <w:pPr>
        <w:pStyle w:val="BodyText"/>
      </w:pPr>
    </w:p>
    <w:p w:rsidR="00000000" w:rsidRPr="006A7249" w:rsidP="006A7249">
      <w:pPr>
        <w:pStyle w:val="AllowPageBreak"/>
      </w:pPr>
    </w:p>
    <w:p w:rsidR="00000000" w:rsidRPr="006A7249" w:rsidP="006A7249">
      <w:pPr>
        <w:pStyle w:val="Heading1"/>
      </w:pPr>
      <w:bookmarkStart w:id="2" w:name="O_745039"/>
      <w:bookmarkEnd w:id="2"/>
      <w:r w:rsidRPr="006A7249">
        <w:t>Application</w:t>
      </w:r>
    </w:p>
    <w:p w:rsidR="00000000" w:rsidRPr="006A7249" w:rsidP="001E7A28">
      <w:pPr>
        <w:pStyle w:val="BodyText"/>
      </w:pPr>
      <w:r w:rsidRPr="006A7249">
        <w:t>This unit describes the skills and competencies required to conduct health pro</w:t>
      </w:r>
      <w:r w:rsidRPr="006A7249">
        <w:t>motion related to chronic conditions as part of primary health care services for Aboriginal and/or Torres Strait Islander communities.</w:t>
      </w:r>
    </w:p>
    <w:p w:rsidR="00000000" w:rsidRPr="006A7249" w:rsidP="001E7A28">
      <w:pPr>
        <w:pStyle w:val="BodyText"/>
      </w:pPr>
      <w:r w:rsidRPr="006A7249">
        <w:t>The unit applies to those Aboriginal and/or Torres Strait Islander Health Workers providing a range of primary health ca</w:t>
      </w:r>
      <w:r w:rsidRPr="006A7249">
        <w:t xml:space="preserve">re services to Aboriginal and/or Torres Strait Islander clients and communities. </w:t>
      </w:r>
    </w:p>
    <w:p w:rsidR="001E7A28" w:rsidRPr="001E7A28" w:rsidP="001E7A28">
      <w:pPr>
        <w:pStyle w:val="BodyText"/>
        <w:rPr>
          <w:i/>
        </w:rPr>
      </w:pPr>
      <w:r w:rsidRPr="001E7A28">
        <w:rPr>
          <w:rStyle w:val="Emphasis"/>
        </w:rPr>
        <w:t>The skills in this unit must be applied in accordance with Commonwealth and State/Territory legislation, Australian/New Zealand standards and industry codes of practice</w:t>
      </w:r>
      <w:r w:rsidRPr="001E7A28">
        <w:rPr>
          <w:i/>
        </w:rPr>
        <w:t>.</w:t>
      </w:r>
    </w:p>
    <w:p w:rsidR="00000000" w:rsidRPr="006A7249" w:rsidP="006A7249">
      <w:pPr>
        <w:pStyle w:val="Heading1"/>
      </w:pPr>
      <w:bookmarkStart w:id="3" w:name="O_745038"/>
      <w:bookmarkEnd w:id="3"/>
      <w:r w:rsidRPr="006A7249">
        <w:t>Elements and Performance Criteria</w:t>
      </w:r>
    </w:p>
    <w:tbl>
      <w:tblPr>
        <w:tblW w:w="0" w:type="auto"/>
        <w:tblLayout w:type="fixed"/>
        <w:tblCellMar>
          <w:left w:w="62" w:type="dxa"/>
          <w:right w:w="62" w:type="dxa"/>
        </w:tblCellMar>
        <w:tblLook w:val="0000"/>
      </w:tblPr>
      <w:tblGrid>
        <w:gridCol w:w="3261"/>
        <w:gridCol w:w="5702"/>
      </w:tblGrid>
      <w:tr w:rsidTr="006A724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A7249" w:rsidP="006A7249">
            <w:pPr>
              <w:pStyle w:val="BodyText"/>
            </w:pPr>
            <w:r w:rsidRPr="006A724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A7249">
            <w:pPr>
              <w:pStyle w:val="BodyText"/>
              <w:rPr>
                <w:lang w:val="en-NZ"/>
              </w:rPr>
            </w:pPr>
            <w:r w:rsidRPr="006A7249">
              <w:rPr>
                <w:rStyle w:val="SpecialBold"/>
              </w:rPr>
              <w:t>PERFORMANCE CRITERIA</w:t>
            </w:r>
          </w:p>
        </w:tc>
      </w:tr>
      <w:tr w:rsidTr="006A724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A7249" w:rsidP="006A7249">
            <w:pPr>
              <w:pStyle w:val="BodyText"/>
            </w:pPr>
            <w:r w:rsidRPr="006A724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A7249">
            <w:pPr>
              <w:pStyle w:val="BodyText"/>
              <w:rPr>
                <w:lang w:val="en-NZ"/>
              </w:rPr>
            </w:pPr>
            <w:r w:rsidRPr="006A7249">
              <w:rPr>
                <w:rStyle w:val="Emphasis"/>
              </w:rPr>
              <w:t xml:space="preserve">Performance criteria specify the level of performance needed to demonstrate achievement of the element. </w:t>
            </w:r>
          </w:p>
        </w:tc>
      </w:tr>
      <w:tr w:rsidTr="006A724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A7249">
            <w:pPr>
              <w:pStyle w:val="BodyText"/>
              <w:rPr>
                <w:lang w:val="en-NZ"/>
              </w:rPr>
            </w:pPr>
            <w:r w:rsidRPr="006A7249">
              <w:t>1. Promote the prevention of chronic conditions</w:t>
            </w:r>
          </w:p>
        </w:tc>
        <w:tc>
          <w:tcPr>
            <w:tcW w:w="5702" w:type="dxa"/>
            <w:tcBorders>
              <w:top w:val="nil"/>
              <w:left w:val="nil"/>
              <w:bottom w:val="nil"/>
              <w:right w:val="nil"/>
            </w:tcBorders>
            <w:tcMar>
              <w:top w:w="0" w:type="dxa"/>
              <w:left w:w="62" w:type="dxa"/>
              <w:bottom w:w="0" w:type="dxa"/>
              <w:right w:w="62" w:type="dxa"/>
            </w:tcMar>
          </w:tcPr>
          <w:p w:rsidR="00000000" w:rsidRPr="006A7249" w:rsidP="006A7249">
            <w:pPr>
              <w:pStyle w:val="BodyText"/>
            </w:pPr>
            <w:r w:rsidRPr="006A7249">
              <w:t>1.1</w:t>
            </w:r>
            <w:r w:rsidRPr="006A7249">
              <w:tab/>
              <w:t>Consider identified community and individual client needs in determining priorities and potential areas to be addressed by chronic condition health promotion</w:t>
            </w:r>
          </w:p>
          <w:p w:rsidR="00000000" w:rsidRPr="006A7249" w:rsidP="006A7249">
            <w:pPr>
              <w:pStyle w:val="BodyText"/>
            </w:pPr>
            <w:r w:rsidRPr="006A7249">
              <w:t>1.2</w:t>
            </w:r>
            <w:r w:rsidRPr="006A7249">
              <w:tab/>
              <w:t>Identify primary, secondary and tertiary p</w:t>
            </w:r>
            <w:r w:rsidRPr="006A7249">
              <w:t>revention strategies for prevalent chronic conditions across the lifespan</w:t>
            </w:r>
          </w:p>
          <w:p w:rsidR="00000000" w:rsidRPr="006A7249" w:rsidP="006A7249">
            <w:pPr>
              <w:pStyle w:val="BodyText"/>
            </w:pPr>
            <w:r w:rsidRPr="006A7249">
              <w:t>1.3</w:t>
            </w:r>
            <w:r w:rsidRPr="006A7249">
              <w:tab/>
              <w:t>Provide accurate information about the nature, prevalence and potential impacts of chronic conditions in relation to Aboriginal and/or Torres Strait Islander communities</w:t>
            </w:r>
          </w:p>
          <w:p w:rsidR="00000000" w:rsidRPr="006A7249" w:rsidP="006A7249">
            <w:pPr>
              <w:pStyle w:val="BodyText"/>
            </w:pPr>
            <w:r w:rsidRPr="006A7249">
              <w:t>1.4</w:t>
            </w:r>
            <w:r w:rsidRPr="006A7249">
              <w:tab/>
              <w:t>Prov</w:t>
            </w:r>
            <w:r w:rsidRPr="006A7249">
              <w:t>ide health information in plain language, using culturally appropriate and safe communication skills, and visual aids where appropriate</w:t>
            </w:r>
          </w:p>
          <w:p w:rsidR="00000000" w:rsidRPr="006A7249" w:rsidP="006A7249">
            <w:pPr>
              <w:pStyle w:val="BodyText"/>
            </w:pPr>
            <w:r w:rsidRPr="006A7249">
              <w:t>1.5</w:t>
            </w:r>
            <w:r w:rsidRPr="006A7249">
              <w:tab/>
              <w:t>Discuss risk factors relating to specific chronic conditions in the context of local, cultural, community, family an</w:t>
            </w:r>
            <w:r w:rsidRPr="006A7249">
              <w:t>d individual issues</w:t>
            </w:r>
          </w:p>
          <w:p w:rsidR="00000000" w:rsidRPr="006A7249" w:rsidP="006A7249">
            <w:pPr>
              <w:pStyle w:val="BodyText"/>
            </w:pPr>
            <w:r w:rsidRPr="006A7249">
              <w:t>1.6</w:t>
            </w:r>
            <w:r w:rsidRPr="006A7249">
              <w:tab/>
              <w:t>Explain and/or demonstrate practices for early detection of specific chronic conditions</w:t>
            </w:r>
          </w:p>
          <w:p w:rsidR="00000000" w:rsidP="006A7249">
            <w:pPr>
              <w:pStyle w:val="BodyText"/>
              <w:rPr>
                <w:lang w:val="en-NZ"/>
              </w:rPr>
            </w:pPr>
            <w:r w:rsidRPr="006A7249">
              <w:t>1.7</w:t>
            </w:r>
            <w:r w:rsidRPr="006A7249">
              <w:tab/>
              <w:t>Provide practical advice relating to maintaining good health in relation to prevalent chronic conditions and in line with individual and com</w:t>
            </w:r>
            <w:r w:rsidRPr="006A7249">
              <w:t>munity needs and organisational guidelines</w:t>
            </w:r>
          </w:p>
        </w:tc>
      </w:tr>
      <w:tr w:rsidTr="006A724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7249">
            <w:pPr>
              <w:pStyle w:val="BodyText"/>
              <w:rPr>
                <w:lang w:val="en-NZ"/>
              </w:rPr>
            </w:pPr>
          </w:p>
        </w:tc>
      </w:tr>
      <w:tr w:rsidTr="006A724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A7249">
            <w:pPr>
              <w:pStyle w:val="BodyText"/>
              <w:rPr>
                <w:lang w:val="en-NZ"/>
              </w:rPr>
            </w:pPr>
            <w:r w:rsidRPr="006A7249">
              <w:t>2. Provide support to clients with chronic conditions</w:t>
            </w:r>
          </w:p>
        </w:tc>
        <w:tc>
          <w:tcPr>
            <w:tcW w:w="5702" w:type="dxa"/>
            <w:tcBorders>
              <w:top w:val="nil"/>
              <w:left w:val="nil"/>
              <w:bottom w:val="nil"/>
              <w:right w:val="nil"/>
            </w:tcBorders>
            <w:tcMar>
              <w:top w:w="0" w:type="dxa"/>
              <w:left w:w="62" w:type="dxa"/>
              <w:bottom w:w="0" w:type="dxa"/>
              <w:right w:w="62" w:type="dxa"/>
            </w:tcMar>
          </w:tcPr>
          <w:p w:rsidR="00000000" w:rsidRPr="006A7249" w:rsidP="006A7249">
            <w:pPr>
              <w:pStyle w:val="BodyText"/>
            </w:pPr>
            <w:r w:rsidRPr="006A7249">
              <w:t>2.1</w:t>
            </w:r>
            <w:r w:rsidRPr="006A7249">
              <w:tab/>
              <w:t>Equip clients with common chronic conditions to make decisions about their health</w:t>
            </w:r>
          </w:p>
          <w:p w:rsidR="00000000" w:rsidRPr="006A7249" w:rsidP="006A7249">
            <w:pPr>
              <w:pStyle w:val="BodyText"/>
            </w:pPr>
            <w:r w:rsidRPr="006A7249">
              <w:t>2.2</w:t>
            </w:r>
            <w:r w:rsidRPr="006A7249">
              <w:tab/>
              <w:t>Assist clients with chronic conditions to actively pa</w:t>
            </w:r>
            <w:r w:rsidRPr="006A7249">
              <w:t xml:space="preserve">rticipate in the development of multidisciplinary care plans </w:t>
            </w:r>
          </w:p>
          <w:p w:rsidR="00000000" w:rsidRPr="006A7249" w:rsidP="006A7249">
            <w:pPr>
              <w:pStyle w:val="BodyText"/>
            </w:pPr>
            <w:r w:rsidRPr="006A7249">
              <w:t>2.3</w:t>
            </w:r>
            <w:r w:rsidRPr="006A7249">
              <w:tab/>
              <w:t>Use culturally appropriate educational resources for chronic condition programs</w:t>
            </w:r>
          </w:p>
          <w:p w:rsidR="00000000" w:rsidRPr="006A7249" w:rsidP="006A7249">
            <w:pPr>
              <w:pStyle w:val="BodyText"/>
            </w:pPr>
            <w:r w:rsidRPr="006A7249">
              <w:t>2.4</w:t>
            </w:r>
            <w:r w:rsidRPr="006A7249">
              <w:tab/>
              <w:t>Provide information about resources available in the community and state in relation to addressing chronic</w:t>
            </w:r>
            <w:r w:rsidRPr="006A7249">
              <w:t xml:space="preserve"> condition issues</w:t>
            </w:r>
          </w:p>
          <w:p w:rsidR="00000000" w:rsidRPr="006A7249" w:rsidP="006A7249">
            <w:pPr>
              <w:pStyle w:val="BodyText"/>
            </w:pPr>
            <w:r w:rsidRPr="006A7249">
              <w:t>2.5</w:t>
            </w:r>
            <w:r w:rsidRPr="006A7249">
              <w:tab/>
              <w:t xml:space="preserve">Support clients to take a self-care approach to maintaining health in line with individual needs </w:t>
            </w:r>
          </w:p>
          <w:p w:rsidR="00000000" w:rsidRPr="006A7249" w:rsidP="006A7249">
            <w:pPr>
              <w:pStyle w:val="BodyText"/>
            </w:pPr>
            <w:r w:rsidRPr="006A7249">
              <w:t>2.6</w:t>
            </w:r>
            <w:r w:rsidRPr="006A7249">
              <w:tab/>
              <w:t>Make appropriate referrals for clients with chronic conditions in accordance with organisation procedures and policies</w:t>
            </w:r>
          </w:p>
          <w:p w:rsidR="00000000" w:rsidRPr="006A7249" w:rsidP="006A7249">
            <w:pPr>
              <w:pStyle w:val="BodyText"/>
            </w:pPr>
            <w:r w:rsidRPr="006A7249">
              <w:t>2.7</w:t>
            </w:r>
            <w:r w:rsidRPr="006A7249">
              <w:tab/>
              <w:t xml:space="preserve">Maintain </w:t>
            </w:r>
            <w:r w:rsidRPr="006A7249">
              <w:t>confidentiality to reflect community and organisation guidelines</w:t>
            </w:r>
          </w:p>
          <w:p w:rsidR="00000000" w:rsidRPr="006A7249" w:rsidP="006A7249">
            <w:pPr>
              <w:pStyle w:val="BodyText"/>
            </w:pPr>
            <w:r w:rsidRPr="006A7249">
              <w:t>2.8</w:t>
            </w:r>
            <w:r w:rsidRPr="006A7249">
              <w:tab/>
              <w:t xml:space="preserve">Offer brief interventions for smoking cessation as required, using motivational interviewing and other relevant techniques </w:t>
            </w:r>
          </w:p>
          <w:p w:rsidR="00000000" w:rsidP="006A7249">
            <w:pPr>
              <w:pStyle w:val="BodyText"/>
              <w:rPr>
                <w:lang w:val="en-NZ"/>
              </w:rPr>
            </w:pPr>
            <w:r w:rsidRPr="006A7249">
              <w:t>2.9</w:t>
            </w:r>
            <w:r w:rsidRPr="006A7249">
              <w:tab/>
              <w:t>Identify patterns of alcohol consumption and offer brief in</w:t>
            </w:r>
            <w:r w:rsidRPr="006A7249">
              <w:t>terventions as required</w:t>
            </w:r>
          </w:p>
        </w:tc>
      </w:tr>
      <w:tr w:rsidTr="006A724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A7249">
            <w:pPr>
              <w:pStyle w:val="BodyText"/>
              <w:rPr>
                <w:lang w:val="en-NZ"/>
              </w:rPr>
            </w:pPr>
          </w:p>
        </w:tc>
      </w:tr>
      <w:tr w:rsidTr="006A724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A7249">
            <w:pPr>
              <w:pStyle w:val="BodyText"/>
              <w:rPr>
                <w:lang w:val="en-NZ"/>
              </w:rPr>
            </w:pPr>
            <w:r w:rsidRPr="006A7249">
              <w:t>3. Follow-up clients with chronic conditions</w:t>
            </w:r>
          </w:p>
        </w:tc>
        <w:tc>
          <w:tcPr>
            <w:tcW w:w="5702" w:type="dxa"/>
            <w:tcBorders>
              <w:top w:val="nil"/>
              <w:left w:val="nil"/>
              <w:bottom w:val="nil"/>
              <w:right w:val="nil"/>
            </w:tcBorders>
            <w:tcMar>
              <w:top w:w="0" w:type="dxa"/>
              <w:left w:w="62" w:type="dxa"/>
              <w:bottom w:w="0" w:type="dxa"/>
              <w:right w:w="62" w:type="dxa"/>
            </w:tcMar>
          </w:tcPr>
          <w:p w:rsidR="00000000" w:rsidRPr="006A7249" w:rsidP="006A7249">
            <w:pPr>
              <w:pStyle w:val="BodyText"/>
            </w:pPr>
            <w:r w:rsidRPr="006A7249">
              <w:t>3.1</w:t>
            </w:r>
            <w:r w:rsidRPr="006A7249">
              <w:tab/>
              <w:t>Identify clients with chronic conditions who are significantly overdue for health care checks and engage follow-up and active recall strategies according to organisation procedure</w:t>
            </w:r>
            <w:r w:rsidRPr="006A7249">
              <w:t>s and policies</w:t>
            </w:r>
          </w:p>
          <w:p w:rsidR="00000000" w:rsidRPr="006A7249" w:rsidP="006A7249">
            <w:pPr>
              <w:pStyle w:val="BodyText"/>
            </w:pPr>
            <w:r w:rsidRPr="006A7249">
              <w:t>3.2</w:t>
            </w:r>
            <w:r w:rsidRPr="006A7249">
              <w:tab/>
              <w:t>Identify social and environmental factors that impact on chronic conditions and address them in partnership with the Aboriginal community and other agencies</w:t>
            </w:r>
          </w:p>
        </w:tc>
      </w:tr>
    </w:tbl>
    <w:p w:rsidR="001E7A28" w:rsidP="006A7249">
      <w:pPr>
        <w:pStyle w:val="BodyText"/>
      </w:pPr>
    </w:p>
    <w:p w:rsidR="001E7A28" w:rsidP="006A7249">
      <w:pPr>
        <w:pStyle w:val="BodyText"/>
      </w:pPr>
    </w:p>
    <w:p w:rsidR="00000000" w:rsidRPr="006A7249" w:rsidP="006A7249">
      <w:pPr>
        <w:pStyle w:val="Heading1"/>
      </w:pPr>
      <w:bookmarkStart w:id="4" w:name="O_745037"/>
      <w:bookmarkEnd w:id="4"/>
      <w:r w:rsidRPr="006A7249">
        <w:t>Foundation Skills</w:t>
      </w:r>
    </w:p>
    <w:tbl>
      <w:tblPr>
        <w:tblW w:w="0" w:type="auto"/>
        <w:tblLayout w:type="fixed"/>
        <w:tblCellMar>
          <w:left w:w="62" w:type="dxa"/>
          <w:right w:w="62" w:type="dxa"/>
        </w:tblCellMar>
        <w:tblLook w:val="0000"/>
      </w:tblPr>
      <w:tblGrid>
        <w:gridCol w:w="3294"/>
        <w:gridCol w:w="5670"/>
      </w:tblGrid>
      <w:tr w:rsidTr="006A7249">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6A7249">
            <w:pPr>
              <w:pStyle w:val="BodyText"/>
              <w:rPr>
                <w:lang w:val="en-NZ"/>
              </w:rPr>
            </w:pPr>
            <w:r w:rsidRPr="006A7249">
              <w:rPr>
                <w:rStyle w:val="Emphasis"/>
              </w:rPr>
              <w:t>The Foundation Skills describe those requi</w:t>
            </w:r>
            <w:r w:rsidRPr="006A7249">
              <w:rPr>
                <w:rStyle w:val="Emphasis"/>
              </w:rPr>
              <w:t>red skills (language, literacy, numeracy and employment skills) that are essential to performance.</w:t>
            </w:r>
          </w:p>
        </w:tc>
      </w:tr>
      <w:tr w:rsidTr="006A724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6A7249">
            <w:pPr>
              <w:pStyle w:val="BodyText"/>
              <w:rPr>
                <w:lang w:val="en-NZ"/>
              </w:rPr>
            </w:pPr>
            <w:r w:rsidRPr="006A7249">
              <w:rPr>
                <w:rStyle w:val="Emphasis"/>
              </w:rPr>
              <w:t>Numeracy</w:t>
            </w:r>
          </w:p>
        </w:tc>
        <w:tc>
          <w:tcPr>
            <w:tcW w:w="5670" w:type="dxa"/>
            <w:tcBorders>
              <w:top w:val="nil"/>
              <w:left w:val="nil"/>
              <w:bottom w:val="nil"/>
              <w:right w:val="nil"/>
            </w:tcBorders>
            <w:tcMar>
              <w:top w:w="0" w:type="dxa"/>
              <w:left w:w="62" w:type="dxa"/>
              <w:bottom w:w="0" w:type="dxa"/>
              <w:right w:w="62" w:type="dxa"/>
            </w:tcMar>
          </w:tcPr>
          <w:p w:rsidR="00000000" w:rsidP="006A7249">
            <w:pPr>
              <w:pStyle w:val="ListBullet"/>
              <w:rPr>
                <w:lang w:val="en-NZ"/>
              </w:rPr>
            </w:pPr>
            <w:r w:rsidRPr="006A7249">
              <w:t>in order to offer blood pressure checks, check medication dosages, and blood glucose readings</w:t>
            </w:r>
          </w:p>
        </w:tc>
      </w:tr>
      <w:tr w:rsidTr="006A724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6A7249">
            <w:pPr>
              <w:pStyle w:val="BodyText"/>
              <w:rPr>
                <w:lang w:val="en-NZ"/>
              </w:rPr>
            </w:pPr>
            <w:r w:rsidRPr="006A7249">
              <w:rPr>
                <w:rStyle w:val="Emphasis"/>
              </w:rPr>
              <w:t>Reading</w:t>
            </w:r>
          </w:p>
        </w:tc>
        <w:tc>
          <w:tcPr>
            <w:tcW w:w="5670" w:type="dxa"/>
            <w:tcBorders>
              <w:top w:val="nil"/>
              <w:left w:val="nil"/>
              <w:bottom w:val="nil"/>
              <w:right w:val="nil"/>
            </w:tcBorders>
            <w:tcMar>
              <w:top w:w="0" w:type="dxa"/>
              <w:left w:w="62" w:type="dxa"/>
              <w:bottom w:w="0" w:type="dxa"/>
              <w:right w:w="62" w:type="dxa"/>
            </w:tcMar>
          </w:tcPr>
          <w:p w:rsidR="00000000" w:rsidRPr="006A7249" w:rsidP="006A7249">
            <w:pPr>
              <w:pStyle w:val="ListBullet"/>
            </w:pPr>
            <w:r w:rsidRPr="006A7249">
              <w:t>in order to interpret protocols for the management of conditions, and interpret and contribute to the development of implementation of care plans</w:t>
            </w:r>
          </w:p>
        </w:tc>
      </w:tr>
    </w:tbl>
    <w:p w:rsidR="00000000" w:rsidRPr="006A7249" w:rsidP="001E7A28">
      <w:pPr>
        <w:pStyle w:val="BodyText"/>
      </w:pPr>
      <w:r w:rsidRPr="006A7249">
        <w:t>Other foundation skills essential to performance are explicit in the performance criteria of this unit.</w:t>
      </w:r>
    </w:p>
    <w:p w:rsidR="00000000" w:rsidRPr="006A7249" w:rsidP="006A7249">
      <w:pPr>
        <w:pStyle w:val="Heading1"/>
      </w:pPr>
      <w:bookmarkStart w:id="5" w:name="O_745036"/>
      <w:bookmarkEnd w:id="5"/>
      <w:r w:rsidRPr="006A7249">
        <w:t>Unit Mapping Information</w:t>
      </w:r>
    </w:p>
    <w:p w:rsidR="001E7A28" w:rsidP="001E7A28">
      <w:pPr>
        <w:pStyle w:val="BodyText"/>
      </w:pPr>
      <w:r w:rsidRPr="006A7249">
        <w:t>No equivalent unit.</w:t>
      </w:r>
    </w:p>
    <w:p w:rsidR="00000000" w:rsidRPr="006A7249" w:rsidP="006A7249">
      <w:pPr>
        <w:pStyle w:val="Heading1"/>
      </w:pPr>
      <w:bookmarkStart w:id="6" w:name="O_745041"/>
      <w:bookmarkEnd w:id="6"/>
      <w:r w:rsidRPr="006A7249">
        <w:t>Links</w:t>
      </w:r>
    </w:p>
    <w:p w:rsidR="00000000" w:rsidRPr="006A7249" w:rsidP="001E7A28">
      <w:pPr>
        <w:pStyle w:val="BodyText"/>
      </w:pPr>
      <w:r w:rsidRPr="006A724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E0C41">
        <w:rPr>
          <w:rStyle w:val="Hyperlink"/>
        </w:rPr>
        <w:t>https://vetnet.gov.au/Pages/TrainingDocs.aspx?q=ced1390f-48d9-4ab0-bd50-b015e5485705</w:t>
      </w:r>
      <w:r>
        <w:fldChar w:fldCharType="end"/>
      </w:r>
    </w:p>
    <w:p w:rsidR="00000000" w:rsidRPr="006A7249" w:rsidP="001E7A28">
      <w:pPr>
        <w:pStyle w:val="BodyText"/>
        <w:sectPr w:rsidSect="006A7249">
          <w:headerReference w:type="default" r:id="rId10"/>
          <w:footerReference w:type="default" r:id="rId11"/>
          <w:pgSz w:w="11908" w:h="16833"/>
          <w:pgMar w:top="1702" w:right="1418" w:bottom="1702" w:left="1418" w:header="992" w:footer="992" w:gutter="0"/>
          <w:cols w:space="720"/>
          <w:noEndnote/>
          <w:docGrid w:linePitch="299"/>
        </w:sectPr>
      </w:pPr>
    </w:p>
    <w:p w:rsidR="00000000" w:rsidRPr="006A7249" w:rsidP="006A7249">
      <w:pPr>
        <w:pStyle w:val="SuperHeading"/>
      </w:pPr>
      <w:r w:rsidRPr="006A7249">
        <w:t>Assessment Requirements for HLTAHW028 Provide information and strategies in chronic condition care</w:t>
      </w:r>
    </w:p>
    <w:p w:rsidR="00000000" w:rsidRPr="006A7249" w:rsidP="006A7249">
      <w:pPr>
        <w:pStyle w:val="Heading1"/>
      </w:pPr>
      <w:bookmarkStart w:id="7" w:name="O_745034"/>
      <w:bookmarkEnd w:id="7"/>
      <w:r w:rsidRPr="006A7249">
        <w:t>Modification History</w:t>
      </w:r>
    </w:p>
    <w:tbl>
      <w:tblPr>
        <w:tblW w:w="0" w:type="auto"/>
        <w:tblLayout w:type="fixed"/>
        <w:tblCellMar>
          <w:left w:w="62" w:type="dxa"/>
          <w:right w:w="62" w:type="dxa"/>
        </w:tblCellMar>
        <w:tblLook w:val="0000"/>
      </w:tblPr>
      <w:tblGrid>
        <w:gridCol w:w="3060"/>
        <w:gridCol w:w="6074"/>
      </w:tblGrid>
      <w:tr w:rsidTr="006A724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7249" w:rsidP="006A7249">
            <w:pPr>
              <w:pStyle w:val="BodyText"/>
            </w:pPr>
            <w:r w:rsidRPr="006A724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A7249">
            <w:pPr>
              <w:pStyle w:val="BodyText"/>
              <w:rPr>
                <w:lang w:val="en-NZ"/>
              </w:rPr>
            </w:pPr>
            <w:r w:rsidRPr="006A7249">
              <w:rPr>
                <w:rStyle w:val="SpecialBold"/>
              </w:rPr>
              <w:t>Comments</w:t>
            </w:r>
          </w:p>
        </w:tc>
      </w:tr>
      <w:tr w:rsidTr="006A724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A7249">
            <w:pPr>
              <w:pStyle w:val="BodyText"/>
              <w:rPr>
                <w:lang w:val="en-NZ"/>
              </w:rPr>
            </w:pPr>
            <w:r w:rsidRPr="006A724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A7249" w:rsidP="006A7249">
            <w:pPr>
              <w:pStyle w:val="BodyText"/>
            </w:pPr>
            <w:r w:rsidRPr="006A7249">
              <w:t>Updated:</w:t>
            </w:r>
          </w:p>
          <w:p w:rsidR="00000000" w:rsidRPr="006A7249" w:rsidP="006A7249">
            <w:pPr>
              <w:pStyle w:val="ListBullet"/>
            </w:pPr>
            <w:r w:rsidRPr="006A7249">
              <w:t>assessor requirements statement</w:t>
            </w:r>
          </w:p>
          <w:p w:rsidR="00000000" w:rsidRPr="006A7249" w:rsidP="006A7249">
            <w:pPr>
              <w:pStyle w:val="ListBullet"/>
            </w:pPr>
            <w:r w:rsidRPr="006A7249">
              <w:t>foundation skills lead in statement</w:t>
            </w:r>
          </w:p>
          <w:p w:rsidR="00000000" w:rsidRPr="006A7249" w:rsidP="006A7249">
            <w:pPr>
              <w:pStyle w:val="ListBullet"/>
            </w:pPr>
            <w:r w:rsidRPr="006A7249">
              <w:t>licensing statement</w:t>
            </w:r>
          </w:p>
          <w:p w:rsidR="00000000" w:rsidRPr="006A7249" w:rsidP="006A7249">
            <w:pPr>
              <w:pStyle w:val="ListBullet"/>
            </w:pPr>
            <w:r w:rsidRPr="006A7249">
              <w:t>modification history to reflect 2012 standards</w:t>
            </w:r>
          </w:p>
          <w:p w:rsidR="00000000" w:rsidP="006A7249">
            <w:pPr>
              <w:pStyle w:val="BodyText"/>
              <w:rPr>
                <w:lang w:val="en-NZ"/>
              </w:rPr>
            </w:pPr>
            <w:r w:rsidRPr="006A7249">
              <w:t>Equivalent outcome.</w:t>
            </w:r>
          </w:p>
        </w:tc>
      </w:tr>
      <w:tr w:rsidTr="006A724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A7249">
            <w:pPr>
              <w:pStyle w:val="BodyText"/>
              <w:rPr>
                <w:lang w:val="en-NZ"/>
              </w:rPr>
            </w:pPr>
            <w:r w:rsidRPr="006A724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A7249" w:rsidP="006A7249">
            <w:pPr>
              <w:pStyle w:val="BodyText"/>
            </w:pPr>
            <w:r w:rsidRPr="006A7249">
              <w:t xml:space="preserve">This version was released in </w:t>
            </w:r>
            <w:r w:rsidRPr="006A7249">
              <w:rPr>
                <w:rStyle w:val="Emphasis"/>
              </w:rPr>
              <w:t>HLT Health Training Package release 1.0</w:t>
            </w:r>
            <w:r w:rsidRPr="006A7249">
              <w:t xml:space="preserve"> and meets the requirements of the 2012 Standards for Training Packages.</w:t>
            </w:r>
          </w:p>
          <w:p w:rsidR="00000000" w:rsidRPr="006A7249" w:rsidP="006A7249">
            <w:pPr>
              <w:pStyle w:val="BodyText"/>
            </w:pPr>
            <w:r w:rsidRPr="006A7249">
              <w:t>Significant changes to elements and performance criteria.</w:t>
            </w:r>
            <w:r w:rsidRPr="006A7249">
              <w:br/>
              <w:t>New evidence requirements for assessment, including volume and environment requirements.</w:t>
            </w:r>
          </w:p>
        </w:tc>
      </w:tr>
    </w:tbl>
    <w:p w:rsidR="00000000" w:rsidRPr="006A7249" w:rsidP="006A7249">
      <w:pPr>
        <w:pStyle w:val="BodyText"/>
      </w:pPr>
    </w:p>
    <w:p w:rsidR="00000000" w:rsidRPr="006A7249" w:rsidP="006A7249">
      <w:pPr>
        <w:pStyle w:val="AllowPageBreak"/>
      </w:pPr>
    </w:p>
    <w:p w:rsidR="00000000" w:rsidRPr="006A7249" w:rsidP="006A7249">
      <w:pPr>
        <w:pStyle w:val="Heading1"/>
      </w:pPr>
      <w:bookmarkStart w:id="8" w:name="O_745033"/>
      <w:bookmarkEnd w:id="8"/>
      <w:r w:rsidRPr="006A7249">
        <w:t>Performance Evidence</w:t>
      </w:r>
    </w:p>
    <w:p w:rsidR="00000000" w:rsidRPr="006A7249" w:rsidP="001E7A28">
      <w:pPr>
        <w:pStyle w:val="BodyText"/>
      </w:pPr>
      <w:r w:rsidRPr="006A7249">
        <w:t xml:space="preserve">The candidate must show evidence of the ability to complete tasks outlined in elements and performance criteria of this unit, manage tasks and manage contingencies in the context of the job role. </w:t>
      </w:r>
    </w:p>
    <w:p w:rsidR="00000000" w:rsidRPr="006A7249" w:rsidP="001E7A28">
      <w:pPr>
        <w:pStyle w:val="BodyText"/>
      </w:pPr>
      <w:r w:rsidRPr="006A7249">
        <w:t>There must be evidence that the candi</w:t>
      </w:r>
      <w:r w:rsidRPr="006A7249">
        <w:t>date has:</w:t>
      </w:r>
    </w:p>
    <w:p w:rsidR="00000000" w:rsidRPr="006A7249" w:rsidP="006A7249">
      <w:pPr>
        <w:pStyle w:val="ListBullet"/>
      </w:pPr>
      <w:r w:rsidRPr="006A7249">
        <w:t xml:space="preserve">provided on at least three separate occasions access to accurate health information on chronic conditions relevant to community and individual needs </w:t>
      </w:r>
    </w:p>
    <w:p w:rsidR="00000000" w:rsidRPr="006A7249" w:rsidP="006A7249">
      <w:pPr>
        <w:pStyle w:val="ListBullet"/>
      </w:pPr>
      <w:r w:rsidRPr="006A7249">
        <w:t>supported and guided at least three clients with chronic conditions</w:t>
      </w:r>
    </w:p>
    <w:p w:rsidR="00000000" w:rsidRPr="006A7249" w:rsidP="006A7249">
      <w:pPr>
        <w:pStyle w:val="ListBullet"/>
      </w:pPr>
      <w:r w:rsidRPr="006A7249">
        <w:t>referred at least three clients with chronic conditions to relevant services</w:t>
      </w:r>
    </w:p>
    <w:p w:rsidR="00000000" w:rsidRPr="006A7249" w:rsidP="006A7249">
      <w:pPr>
        <w:pStyle w:val="ListBullet"/>
      </w:pPr>
      <w:r w:rsidRPr="006A7249">
        <w:t>organised and ensured follow-up care for at least three clients.</w:t>
      </w:r>
    </w:p>
    <w:p w:rsidR="00000000" w:rsidRPr="006A7249" w:rsidP="006A7249">
      <w:pPr>
        <w:pStyle w:val="AllowPageBreak"/>
      </w:pPr>
    </w:p>
    <w:p w:rsidR="00000000" w:rsidRPr="006A7249" w:rsidP="006A7249">
      <w:pPr>
        <w:pStyle w:val="Heading1"/>
      </w:pPr>
      <w:bookmarkStart w:id="9" w:name="O_745032"/>
      <w:bookmarkEnd w:id="9"/>
      <w:r w:rsidRPr="006A7249">
        <w:t>Knowledge Evidence</w:t>
      </w:r>
    </w:p>
    <w:p w:rsidR="00000000" w:rsidRPr="006A7249" w:rsidP="001E7A28">
      <w:pPr>
        <w:pStyle w:val="BodyText"/>
      </w:pPr>
      <w:r w:rsidRPr="006A7249">
        <w:t>The candidate must be able to demonstrate essential knowledge required to effe</w:t>
      </w:r>
      <w:r w:rsidRPr="006A7249">
        <w:t>ctively do the task outlined in elements and performance criteria of this unit, manage the task and manage contingencies in the context of the identified work role</w:t>
      </w:r>
    </w:p>
    <w:p w:rsidR="00000000" w:rsidRPr="006A7249" w:rsidP="001E7A28">
      <w:pPr>
        <w:pStyle w:val="BodyText"/>
      </w:pPr>
      <w:r w:rsidRPr="006A7249">
        <w:t>This includes knowledge of:</w:t>
      </w:r>
    </w:p>
    <w:p w:rsidR="00000000" w:rsidRPr="006A7249" w:rsidP="006A7249">
      <w:pPr>
        <w:pStyle w:val="ListBullet"/>
      </w:pPr>
      <w:r w:rsidRPr="006A7249">
        <w:t>organisation policies and procedures and legislation or regul</w:t>
      </w:r>
      <w:r w:rsidRPr="006A7249">
        <w:t>ations relating to:</w:t>
      </w:r>
    </w:p>
    <w:p w:rsidR="00000000" w:rsidRPr="006A7249" w:rsidP="006A7249">
      <w:pPr>
        <w:pStyle w:val="List2"/>
      </w:pPr>
      <w:r>
        <w:t>•</w:t>
      </w:r>
      <w:r>
        <w:tab/>
      </w:r>
      <w:r w:rsidRPr="006A7249">
        <w:t>client confidentiality</w:t>
      </w:r>
    </w:p>
    <w:p w:rsidR="00000000" w:rsidRPr="006A7249" w:rsidP="006A7249">
      <w:pPr>
        <w:pStyle w:val="List2"/>
      </w:pPr>
      <w:r>
        <w:t>•</w:t>
      </w:r>
      <w:r>
        <w:tab/>
      </w:r>
      <w:r w:rsidRPr="006A7249">
        <w:t>referral, including various levels of urgency, and follow-up of clients</w:t>
      </w:r>
    </w:p>
    <w:p w:rsidR="00000000" w:rsidRPr="006A7249" w:rsidP="006A7249">
      <w:pPr>
        <w:pStyle w:val="List2"/>
      </w:pPr>
      <w:r>
        <w:t>•</w:t>
      </w:r>
      <w:r>
        <w:tab/>
      </w:r>
      <w:r w:rsidRPr="006A7249">
        <w:t>mandatory reporting</w:t>
      </w:r>
    </w:p>
    <w:p w:rsidR="00000000" w:rsidRPr="006A7249" w:rsidP="006A7249">
      <w:pPr>
        <w:pStyle w:val="List2"/>
      </w:pPr>
      <w:r>
        <w:t>•</w:t>
      </w:r>
      <w:r>
        <w:tab/>
      </w:r>
      <w:r w:rsidRPr="006A7249">
        <w:t>notifiable communicable diseases</w:t>
      </w:r>
    </w:p>
    <w:p w:rsidR="00000000" w:rsidRPr="006A7249" w:rsidP="006A7249">
      <w:pPr>
        <w:pStyle w:val="List2"/>
      </w:pPr>
      <w:r>
        <w:t>•</w:t>
      </w:r>
      <w:r>
        <w:tab/>
      </w:r>
      <w:r w:rsidRPr="006A7249">
        <w:t>limits of own ability and authority</w:t>
      </w:r>
    </w:p>
    <w:p w:rsidR="00000000" w:rsidRPr="006A7249" w:rsidP="006A7249">
      <w:pPr>
        <w:pStyle w:val="List2"/>
      </w:pPr>
      <w:r>
        <w:t>•</w:t>
      </w:r>
      <w:r>
        <w:tab/>
      </w:r>
      <w:r w:rsidRPr="006A7249">
        <w:t>reporting procedures</w:t>
      </w:r>
    </w:p>
    <w:p w:rsidR="00000000" w:rsidRPr="006A7249" w:rsidP="006A7249">
      <w:pPr>
        <w:pStyle w:val="List2"/>
      </w:pPr>
      <w:r>
        <w:t>•</w:t>
      </w:r>
      <w:r>
        <w:tab/>
      </w:r>
      <w:r w:rsidRPr="006A7249">
        <w:t>documentation</w:t>
      </w:r>
    </w:p>
    <w:p w:rsidR="00000000" w:rsidRPr="006A7249" w:rsidP="006A7249">
      <w:pPr>
        <w:pStyle w:val="ListBullet"/>
      </w:pPr>
      <w:r w:rsidRPr="006A7249">
        <w:t>pr</w:t>
      </w:r>
      <w:r w:rsidRPr="006A7249">
        <w:t>evalence and statistical incidence of diabetes, heart disease and chronic kidney disease in Aboriginal and/or Torres Strait Islander populations compared to non-Aboriginal and/or Torres Strait Islander populations</w:t>
      </w:r>
    </w:p>
    <w:p w:rsidR="00000000" w:rsidRPr="006A7249" w:rsidP="006A7249">
      <w:pPr>
        <w:pStyle w:val="ListBullet"/>
      </w:pPr>
      <w:r w:rsidRPr="006A7249">
        <w:t>importance of self-management and the promotion of health-seeking behaviours</w:t>
      </w:r>
    </w:p>
    <w:p w:rsidR="00000000" w:rsidRPr="006A7249" w:rsidP="006A7249">
      <w:pPr>
        <w:pStyle w:val="ListBullet"/>
      </w:pPr>
      <w:r w:rsidRPr="006A7249">
        <w:t>importance of developing care plans that involve the client and the multidisciplinary care team</w:t>
      </w:r>
    </w:p>
    <w:p w:rsidR="00000000" w:rsidRPr="006A7249" w:rsidP="006A7249">
      <w:pPr>
        <w:pStyle w:val="ListBullet"/>
      </w:pPr>
      <w:r w:rsidRPr="006A7249">
        <w:t>health promotion strategies for all chronic conditions (primary, secondary and tert</w:t>
      </w:r>
      <w:r w:rsidRPr="006A7249">
        <w:t>iary prevention), including:</w:t>
      </w:r>
    </w:p>
    <w:p w:rsidR="00000000" w:rsidRPr="006A7249" w:rsidP="006A7249">
      <w:pPr>
        <w:pStyle w:val="List2"/>
      </w:pPr>
      <w:r>
        <w:t>•</w:t>
      </w:r>
      <w:r>
        <w:tab/>
      </w:r>
      <w:r w:rsidRPr="006A7249">
        <w:t>maternal and infant/child health</w:t>
      </w:r>
    </w:p>
    <w:p w:rsidR="00000000" w:rsidRPr="006A7249" w:rsidP="006A7249">
      <w:pPr>
        <w:pStyle w:val="List2"/>
      </w:pPr>
      <w:r>
        <w:t>•</w:t>
      </w:r>
      <w:r>
        <w:tab/>
      </w:r>
      <w:r w:rsidRPr="006A7249">
        <w:t>smoking cessation</w:t>
      </w:r>
    </w:p>
    <w:p w:rsidR="00000000" w:rsidRPr="006A7249" w:rsidP="006A7249">
      <w:pPr>
        <w:pStyle w:val="List2"/>
      </w:pPr>
      <w:r>
        <w:t>•</w:t>
      </w:r>
      <w:r>
        <w:tab/>
      </w:r>
      <w:r w:rsidRPr="006A7249">
        <w:t>national recommendations for healthy eating (including avoiding foods high in saturated fat and salt)</w:t>
      </w:r>
    </w:p>
    <w:p w:rsidR="00000000" w:rsidRPr="006A7249" w:rsidP="006A7249">
      <w:pPr>
        <w:pStyle w:val="List2"/>
      </w:pPr>
      <w:r>
        <w:t>•</w:t>
      </w:r>
      <w:r>
        <w:tab/>
      </w:r>
      <w:r w:rsidRPr="006A7249">
        <w:t>national recommendations for physical activity</w:t>
      </w:r>
    </w:p>
    <w:p w:rsidR="00000000" w:rsidRPr="006A7249" w:rsidP="006A7249">
      <w:pPr>
        <w:pStyle w:val="List2"/>
      </w:pPr>
      <w:r>
        <w:t>•</w:t>
      </w:r>
      <w:r>
        <w:tab/>
      </w:r>
      <w:r w:rsidRPr="006A7249">
        <w:t>vaccination (hepa</w:t>
      </w:r>
      <w:r w:rsidRPr="006A7249">
        <w:t>titis B, pneumococcal, influenza &amp; HPV)</w:t>
      </w:r>
    </w:p>
    <w:p w:rsidR="00000000" w:rsidRPr="006A7249" w:rsidP="006A7249">
      <w:pPr>
        <w:pStyle w:val="List2"/>
      </w:pPr>
      <w:r>
        <w:t>•</w:t>
      </w:r>
      <w:r>
        <w:tab/>
      </w:r>
      <w:r w:rsidRPr="006A7249">
        <w:t>oral health</w:t>
      </w:r>
    </w:p>
    <w:p w:rsidR="00000000" w:rsidRPr="006A7249" w:rsidP="006A7249">
      <w:pPr>
        <w:pStyle w:val="List2"/>
      </w:pPr>
      <w:r>
        <w:t>•</w:t>
      </w:r>
      <w:r>
        <w:tab/>
      </w:r>
      <w:r w:rsidRPr="006A7249">
        <w:t>safe alcohol consumption</w:t>
      </w:r>
    </w:p>
    <w:p w:rsidR="00000000" w:rsidRPr="006A7249" w:rsidP="006A7249">
      <w:pPr>
        <w:pStyle w:val="List2"/>
      </w:pPr>
      <w:r>
        <w:t>•</w:t>
      </w:r>
      <w:r>
        <w:tab/>
      </w:r>
      <w:r w:rsidRPr="006A7249">
        <w:t>social and emotional wellbeing</w:t>
      </w:r>
    </w:p>
    <w:p w:rsidR="00000000" w:rsidRPr="006A7249" w:rsidP="006A7249">
      <w:pPr>
        <w:pStyle w:val="List2"/>
      </w:pPr>
      <w:r>
        <w:t>•</w:t>
      </w:r>
      <w:r>
        <w:tab/>
      </w:r>
      <w:r w:rsidRPr="006A7249">
        <w:t>annual child and adult health checks</w:t>
      </w:r>
    </w:p>
    <w:p w:rsidR="00000000" w:rsidRPr="006A7249" w:rsidP="006A7249">
      <w:pPr>
        <w:pStyle w:val="ListBullet"/>
      </w:pPr>
      <w:r w:rsidRPr="006A7249">
        <w:t>features of chronic illness, including:</w:t>
      </w:r>
    </w:p>
    <w:p w:rsidR="00000000" w:rsidRPr="006A7249" w:rsidP="006A7249">
      <w:pPr>
        <w:pStyle w:val="List2"/>
      </w:pPr>
      <w:r>
        <w:t>•</w:t>
      </w:r>
      <w:r>
        <w:tab/>
      </w:r>
      <w:r w:rsidRPr="006A7249">
        <w:t>complex causality</w:t>
      </w:r>
    </w:p>
    <w:p w:rsidR="00000000" w:rsidRPr="006A7249" w:rsidP="006A7249">
      <w:pPr>
        <w:pStyle w:val="List2"/>
      </w:pPr>
      <w:r>
        <w:t>•</w:t>
      </w:r>
      <w:r>
        <w:tab/>
      </w:r>
      <w:r w:rsidRPr="006A7249">
        <w:t>multiple risk factors</w:t>
      </w:r>
    </w:p>
    <w:p w:rsidR="00000000" w:rsidRPr="006A7249" w:rsidP="006A7249">
      <w:pPr>
        <w:pStyle w:val="List2"/>
      </w:pPr>
      <w:r>
        <w:t>•</w:t>
      </w:r>
      <w:r>
        <w:tab/>
      </w:r>
      <w:r w:rsidRPr="006A7249">
        <w:t>long latency per</w:t>
      </w:r>
      <w:r w:rsidRPr="006A7249">
        <w:t>iods</w:t>
      </w:r>
    </w:p>
    <w:p w:rsidR="00000000" w:rsidRPr="006A7249" w:rsidP="006A7249">
      <w:pPr>
        <w:pStyle w:val="List2"/>
      </w:pPr>
      <w:r>
        <w:t>•</w:t>
      </w:r>
      <w:r>
        <w:tab/>
      </w:r>
      <w:r w:rsidRPr="006A7249">
        <w:t>a prolonged course of illness</w:t>
      </w:r>
    </w:p>
    <w:p w:rsidR="00000000" w:rsidRPr="006A7249" w:rsidP="006A7249">
      <w:pPr>
        <w:pStyle w:val="List2"/>
      </w:pPr>
      <w:r>
        <w:t>•</w:t>
      </w:r>
      <w:r>
        <w:tab/>
      </w:r>
      <w:r w:rsidRPr="006A7249">
        <w:t>functional impairment or disability</w:t>
      </w:r>
    </w:p>
    <w:p w:rsidR="00000000" w:rsidRPr="006A7249" w:rsidP="006A7249">
      <w:pPr>
        <w:pStyle w:val="ListBullet"/>
      </w:pPr>
      <w:r w:rsidRPr="006A7249">
        <w:t>specific chronic conditions affecting Aboriginal and/or Torres Strait Islander clients and communities, including:</w:t>
      </w:r>
    </w:p>
    <w:p w:rsidR="00000000" w:rsidRPr="006A7249" w:rsidP="006A7249">
      <w:pPr>
        <w:pStyle w:val="List2"/>
      </w:pPr>
      <w:r>
        <w:t>•</w:t>
      </w:r>
      <w:r>
        <w:tab/>
      </w:r>
      <w:r w:rsidRPr="006A7249">
        <w:t>cardiovascular disease</w:t>
      </w:r>
    </w:p>
    <w:p w:rsidR="00000000" w:rsidRPr="006A7249" w:rsidP="006A7249">
      <w:pPr>
        <w:pStyle w:val="List2"/>
      </w:pPr>
      <w:r>
        <w:t>•</w:t>
      </w:r>
      <w:r>
        <w:tab/>
      </w:r>
      <w:r w:rsidRPr="006A7249">
        <w:t>diabetes</w:t>
      </w:r>
    </w:p>
    <w:p w:rsidR="00000000" w:rsidRPr="006A7249" w:rsidP="006A7249">
      <w:pPr>
        <w:pStyle w:val="List2"/>
      </w:pPr>
      <w:r>
        <w:t>•</w:t>
      </w:r>
      <w:r>
        <w:tab/>
      </w:r>
      <w:r w:rsidRPr="006A7249">
        <w:t>cancer</w:t>
      </w:r>
    </w:p>
    <w:p w:rsidR="00000000" w:rsidRPr="006A7249" w:rsidP="006A7249">
      <w:pPr>
        <w:pStyle w:val="List2"/>
      </w:pPr>
      <w:r>
        <w:t>•</w:t>
      </w:r>
      <w:r>
        <w:tab/>
      </w:r>
      <w:r w:rsidRPr="006A7249">
        <w:t xml:space="preserve">chronic respiratory disease </w:t>
      </w:r>
    </w:p>
    <w:p w:rsidR="00000000" w:rsidRPr="006A7249" w:rsidP="006A7249">
      <w:pPr>
        <w:pStyle w:val="List2"/>
      </w:pPr>
      <w:r>
        <w:t>•</w:t>
      </w:r>
      <w:r>
        <w:tab/>
      </w:r>
      <w:r w:rsidRPr="006A7249">
        <w:t>chronic kidney disease</w:t>
      </w:r>
    </w:p>
    <w:p w:rsidR="00000000" w:rsidRPr="006A7249" w:rsidP="006A7249">
      <w:pPr>
        <w:pStyle w:val="List2"/>
      </w:pPr>
      <w:r>
        <w:t>•</w:t>
      </w:r>
      <w:r>
        <w:tab/>
      </w:r>
      <w:r w:rsidRPr="006A7249">
        <w:t>asthma</w:t>
      </w:r>
    </w:p>
    <w:p w:rsidR="00000000" w:rsidRPr="006A7249" w:rsidP="006A7249">
      <w:pPr>
        <w:pStyle w:val="List2"/>
      </w:pPr>
      <w:r>
        <w:t>•</w:t>
      </w:r>
      <w:r>
        <w:tab/>
      </w:r>
      <w:r w:rsidRPr="006A7249">
        <w:t>arthritis</w:t>
      </w:r>
    </w:p>
    <w:p w:rsidR="00000000" w:rsidRPr="006A7249" w:rsidP="006A7249">
      <w:pPr>
        <w:pStyle w:val="List2"/>
      </w:pPr>
      <w:r>
        <w:t>•</w:t>
      </w:r>
      <w:r>
        <w:tab/>
      </w:r>
      <w:r w:rsidRPr="006A7249">
        <w:t xml:space="preserve">oral disease  </w:t>
      </w:r>
    </w:p>
    <w:p w:rsidR="00000000" w:rsidRPr="006A7249" w:rsidP="006A7249">
      <w:pPr>
        <w:pStyle w:val="ListBullet"/>
      </w:pPr>
      <w:r w:rsidRPr="006A7249">
        <w:t>specific impact of chronic conditions on major body organs and systems</w:t>
      </w:r>
    </w:p>
    <w:p w:rsidR="00000000" w:rsidRPr="006A7249" w:rsidP="006A7249">
      <w:pPr>
        <w:pStyle w:val="ListBullet"/>
      </w:pPr>
      <w:r w:rsidRPr="006A7249">
        <w:t>groups at high risk of chronic conditions</w:t>
      </w:r>
    </w:p>
    <w:p w:rsidR="00000000" w:rsidRPr="006A7249" w:rsidP="006A7249">
      <w:pPr>
        <w:pStyle w:val="ListBullet"/>
      </w:pPr>
      <w:r w:rsidRPr="006A7249">
        <w:t>determinants of chronic conditions, including:</w:t>
      </w:r>
    </w:p>
    <w:p w:rsidR="00000000" w:rsidRPr="006A7249" w:rsidP="006A7249">
      <w:pPr>
        <w:pStyle w:val="List2"/>
      </w:pPr>
      <w:r>
        <w:t>•</w:t>
      </w:r>
      <w:r>
        <w:tab/>
      </w:r>
      <w:r w:rsidRPr="006A7249">
        <w:t>smoking</w:t>
      </w:r>
    </w:p>
    <w:p w:rsidR="00000000" w:rsidRPr="006A7249" w:rsidP="006A7249">
      <w:pPr>
        <w:pStyle w:val="List2"/>
      </w:pPr>
      <w:r>
        <w:t>•</w:t>
      </w:r>
      <w:r>
        <w:tab/>
      </w:r>
      <w:r w:rsidRPr="006A7249">
        <w:t>physical activity</w:t>
      </w:r>
    </w:p>
    <w:p w:rsidR="00000000" w:rsidRPr="006A7249" w:rsidP="006A7249">
      <w:pPr>
        <w:pStyle w:val="List2"/>
      </w:pPr>
      <w:r>
        <w:t>•</w:t>
      </w:r>
      <w:r>
        <w:tab/>
      </w:r>
      <w:r w:rsidRPr="006A7249">
        <w:t>nutrition</w:t>
      </w:r>
    </w:p>
    <w:p w:rsidR="00000000" w:rsidRPr="006A7249" w:rsidP="006A7249">
      <w:pPr>
        <w:pStyle w:val="List2"/>
      </w:pPr>
      <w:r>
        <w:t>•</w:t>
      </w:r>
      <w:r>
        <w:tab/>
      </w:r>
      <w:r w:rsidRPr="006A7249">
        <w:t>alcohol intake</w:t>
      </w:r>
    </w:p>
    <w:p w:rsidR="00000000" w:rsidRPr="006A7249" w:rsidP="006A7249">
      <w:pPr>
        <w:pStyle w:val="List2"/>
      </w:pPr>
      <w:r>
        <w:t>•</w:t>
      </w:r>
      <w:r>
        <w:tab/>
      </w:r>
      <w:r w:rsidRPr="006A7249">
        <w:t>use of illicit drugs</w:t>
      </w:r>
    </w:p>
    <w:p w:rsidR="00000000" w:rsidRPr="006A7249" w:rsidP="006A7249">
      <w:pPr>
        <w:pStyle w:val="List2"/>
      </w:pPr>
      <w:r>
        <w:t>•</w:t>
      </w:r>
      <w:r>
        <w:tab/>
      </w:r>
      <w:r w:rsidRPr="006A7249">
        <w:t>obesity, weight and waist circumference</w:t>
      </w:r>
    </w:p>
    <w:p w:rsidR="00000000" w:rsidRPr="006A7249" w:rsidP="006A7249">
      <w:pPr>
        <w:pStyle w:val="List2"/>
      </w:pPr>
      <w:r>
        <w:t>•</w:t>
      </w:r>
      <w:r>
        <w:tab/>
      </w:r>
      <w:r w:rsidRPr="006A7249">
        <w:t>unsafe sexual practices</w:t>
      </w:r>
    </w:p>
    <w:p w:rsidR="00000000" w:rsidRPr="006A7249" w:rsidP="006A7249">
      <w:pPr>
        <w:pStyle w:val="List2"/>
      </w:pPr>
      <w:r>
        <w:t>•</w:t>
      </w:r>
      <w:r>
        <w:tab/>
      </w:r>
      <w:r w:rsidRPr="006A7249">
        <w:t>genetic factors</w:t>
      </w:r>
    </w:p>
    <w:p w:rsidR="00000000" w:rsidRPr="006A7249" w:rsidP="006A7249">
      <w:pPr>
        <w:pStyle w:val="ListBullet"/>
      </w:pPr>
      <w:r w:rsidRPr="006A7249">
        <w:t>treatment and management of chronic conditions, including:</w:t>
      </w:r>
    </w:p>
    <w:p w:rsidR="00000000" w:rsidRPr="006A7249" w:rsidP="006A7249">
      <w:pPr>
        <w:pStyle w:val="List2"/>
      </w:pPr>
      <w:r>
        <w:t>•</w:t>
      </w:r>
      <w:r>
        <w:tab/>
      </w:r>
      <w:r w:rsidRPr="006A7249">
        <w:t xml:space="preserve">working strategically with </w:t>
      </w:r>
      <w:r w:rsidRPr="006A7249">
        <w:t>clients, family and significant others to promote self-management as far as possible</w:t>
      </w:r>
    </w:p>
    <w:p w:rsidR="00000000" w:rsidRPr="006A7249" w:rsidP="006A7249">
      <w:pPr>
        <w:pStyle w:val="List2"/>
      </w:pPr>
      <w:r>
        <w:t>•</w:t>
      </w:r>
      <w:r>
        <w:tab/>
      </w:r>
      <w:r w:rsidRPr="006A7249">
        <w:t>medication</w:t>
      </w:r>
    </w:p>
    <w:p w:rsidR="00000000" w:rsidRPr="006A7249" w:rsidP="006A7249">
      <w:pPr>
        <w:pStyle w:val="List2"/>
      </w:pPr>
      <w:r>
        <w:t>•</w:t>
      </w:r>
      <w:r>
        <w:tab/>
      </w:r>
      <w:r w:rsidRPr="006A7249">
        <w:t xml:space="preserve">surgery </w:t>
      </w:r>
    </w:p>
    <w:p w:rsidR="00000000" w:rsidRPr="006A7249" w:rsidP="006A7249">
      <w:pPr>
        <w:pStyle w:val="List2"/>
      </w:pPr>
      <w:r>
        <w:t>•</w:t>
      </w:r>
      <w:r>
        <w:tab/>
      </w:r>
      <w:r w:rsidRPr="006A7249">
        <w:t>regular exercise</w:t>
      </w:r>
    </w:p>
    <w:p w:rsidR="00000000" w:rsidRPr="006A7249" w:rsidP="006A7249">
      <w:pPr>
        <w:pStyle w:val="List2"/>
      </w:pPr>
      <w:r>
        <w:t>•</w:t>
      </w:r>
      <w:r>
        <w:tab/>
      </w:r>
      <w:r w:rsidRPr="006A7249">
        <w:t>good nutrition</w:t>
      </w:r>
    </w:p>
    <w:p w:rsidR="00000000" w:rsidRPr="006A7249" w:rsidP="006A7249">
      <w:pPr>
        <w:pStyle w:val="List2"/>
      </w:pPr>
      <w:r>
        <w:t>•</w:t>
      </w:r>
      <w:r>
        <w:tab/>
      </w:r>
      <w:r w:rsidRPr="006A7249">
        <w:t>cessation of smoking</w:t>
      </w:r>
    </w:p>
    <w:p w:rsidR="00000000" w:rsidRPr="006A7249" w:rsidP="006A7249">
      <w:pPr>
        <w:pStyle w:val="List2"/>
      </w:pPr>
      <w:r>
        <w:t>•</w:t>
      </w:r>
      <w:r>
        <w:tab/>
      </w:r>
      <w:r w:rsidRPr="006A7249">
        <w:t>cessation or moderation of alcohol use</w:t>
      </w:r>
    </w:p>
    <w:p w:rsidR="00000000" w:rsidRPr="006A7249" w:rsidP="006A7249">
      <w:pPr>
        <w:pStyle w:val="List2"/>
      </w:pPr>
      <w:r>
        <w:t>•</w:t>
      </w:r>
      <w:r>
        <w:tab/>
      </w:r>
      <w:r w:rsidRPr="006A7249">
        <w:t>cessation of illicit drug use</w:t>
      </w:r>
    </w:p>
    <w:p w:rsidR="00000000" w:rsidRPr="006A7249" w:rsidP="006A7249">
      <w:pPr>
        <w:pStyle w:val="List2"/>
      </w:pPr>
      <w:r>
        <w:t>•</w:t>
      </w:r>
      <w:r>
        <w:tab/>
      </w:r>
      <w:r w:rsidRPr="006A7249">
        <w:t>regular screenings for changes in disease presentation and detection of other diseases</w:t>
      </w:r>
    </w:p>
    <w:p w:rsidR="00000000" w:rsidRPr="006A7249" w:rsidP="006A7249">
      <w:pPr>
        <w:pStyle w:val="ListBullet"/>
      </w:pPr>
      <w:r w:rsidRPr="006A7249">
        <w:t>in relation to cardiovascular diseases:</w:t>
      </w:r>
    </w:p>
    <w:p w:rsidR="00000000" w:rsidRPr="006A7249" w:rsidP="006A7249">
      <w:pPr>
        <w:pStyle w:val="List2"/>
      </w:pPr>
      <w:r>
        <w:t>•</w:t>
      </w:r>
      <w:r>
        <w:tab/>
      </w:r>
      <w:r w:rsidRPr="006A7249">
        <w:t xml:space="preserve">the concept of ‘cardiovascular risk factors’, the significance of an individual having multiple risk factors </w:t>
      </w:r>
    </w:p>
    <w:p w:rsidR="00000000" w:rsidRPr="006A7249" w:rsidP="006A7249">
      <w:pPr>
        <w:pStyle w:val="List2"/>
      </w:pPr>
      <w:r>
        <w:t>•</w:t>
      </w:r>
      <w:r>
        <w:tab/>
      </w:r>
      <w:r w:rsidRPr="006A7249">
        <w:t>the developm</w:t>
      </w:r>
      <w:r w:rsidRPr="006A7249">
        <w:t>ent of atherosclerosis and the basic pathophysiology of coronary heart disease, cerebrovascular disease and peripheral vascular disease</w:t>
      </w:r>
    </w:p>
    <w:p w:rsidR="00000000" w:rsidRPr="006A7249" w:rsidP="006A7249">
      <w:pPr>
        <w:pStyle w:val="List2"/>
      </w:pPr>
      <w:r>
        <w:t>•</w:t>
      </w:r>
      <w:r>
        <w:tab/>
      </w:r>
      <w:r w:rsidRPr="006A7249">
        <w:t>basic medical and surgical management of coronary heart disease</w:t>
      </w:r>
    </w:p>
    <w:p w:rsidR="00000000" w:rsidRPr="006A7249" w:rsidP="006A7249">
      <w:pPr>
        <w:pStyle w:val="List2"/>
      </w:pPr>
      <w:r>
        <w:t>•</w:t>
      </w:r>
      <w:r>
        <w:tab/>
      </w:r>
      <w:r w:rsidRPr="006A7249">
        <w:t>basic knowledge of the causes, prevention and manage</w:t>
      </w:r>
      <w:r w:rsidRPr="006A7249">
        <w:t>ment of other cardiovascular diseases including rheumatic heart disease, heart failure and cardiomyopathies</w:t>
      </w:r>
    </w:p>
    <w:p w:rsidR="00000000" w:rsidRPr="006A7249" w:rsidP="006A7249">
      <w:pPr>
        <w:pStyle w:val="ListBullet"/>
      </w:pPr>
      <w:r w:rsidRPr="006A7249">
        <w:t>in relation to diabetes mellitus:</w:t>
      </w:r>
    </w:p>
    <w:p w:rsidR="00000000" w:rsidRPr="006A7249" w:rsidP="006A7249">
      <w:pPr>
        <w:pStyle w:val="List2"/>
      </w:pPr>
      <w:r>
        <w:t>•</w:t>
      </w:r>
      <w:r>
        <w:tab/>
      </w:r>
      <w:r w:rsidRPr="006A7249">
        <w:t>basic pathophysiology of type II contrasted with type I diabetes mellitus and gestational diabetes</w:t>
      </w:r>
    </w:p>
    <w:p w:rsidR="00000000" w:rsidRPr="006A7249" w:rsidP="006A7249">
      <w:pPr>
        <w:pStyle w:val="List2"/>
      </w:pPr>
      <w:r>
        <w:t>•</w:t>
      </w:r>
      <w:r>
        <w:tab/>
      </w:r>
      <w:r w:rsidRPr="006A7249">
        <w:t>complicati</w:t>
      </w:r>
      <w:r w:rsidRPr="006A7249">
        <w:t>ons of diabetes (macrovascular: coronary heart disease, cerebrovascular disease and peripheral vascular disease; and microvascular: neuropathies, retinopathy and nephropathy)</w:t>
      </w:r>
    </w:p>
    <w:p w:rsidR="00000000" w:rsidRPr="006A7249" w:rsidP="006A7249">
      <w:pPr>
        <w:pStyle w:val="List2"/>
      </w:pPr>
      <w:r>
        <w:t>•</w:t>
      </w:r>
      <w:r>
        <w:tab/>
      </w:r>
      <w:r w:rsidRPr="006A7249">
        <w:t>main elements of the ‘diabetes annual cycle of care’</w:t>
      </w:r>
    </w:p>
    <w:p w:rsidR="00000000" w:rsidRPr="006A7249" w:rsidP="006A7249">
      <w:pPr>
        <w:pStyle w:val="List2"/>
      </w:pPr>
      <w:r>
        <w:t>•</w:t>
      </w:r>
      <w:r>
        <w:tab/>
      </w:r>
      <w:r w:rsidRPr="006A7249">
        <w:t xml:space="preserve">importance of follow-up </w:t>
      </w:r>
      <w:r w:rsidRPr="006A7249">
        <w:t>for women with gestational diabetes and their children</w:t>
      </w:r>
    </w:p>
    <w:p w:rsidR="00000000" w:rsidRPr="006A7249" w:rsidP="006A7249">
      <w:pPr>
        <w:pStyle w:val="List2"/>
      </w:pPr>
      <w:r>
        <w:t>•</w:t>
      </w:r>
      <w:r>
        <w:tab/>
      </w:r>
      <w:r w:rsidRPr="006A7249">
        <w:t>role of other members of the multidisciplinary care team (e.g. GP, endocrinologist, diabetes educator, podiatrist, dietician, ophthalmologist/optometrist, psychologist)</w:t>
      </w:r>
    </w:p>
    <w:p w:rsidR="00000000" w:rsidRPr="006A7249" w:rsidP="006A7249">
      <w:pPr>
        <w:pStyle w:val="ListBullet"/>
      </w:pPr>
      <w:r w:rsidRPr="006A7249">
        <w:t>in relation to chronic kidney</w:t>
      </w:r>
      <w:r w:rsidRPr="006A7249">
        <w:t xml:space="preserve"> disease:</w:t>
      </w:r>
    </w:p>
    <w:p w:rsidR="00000000" w:rsidRPr="006A7249" w:rsidP="006A7249">
      <w:pPr>
        <w:pStyle w:val="List2"/>
      </w:pPr>
      <w:r>
        <w:t>•</w:t>
      </w:r>
      <w:r>
        <w:tab/>
      </w:r>
      <w:r w:rsidRPr="006A7249">
        <w:t>basic pathophysiology of chronic kidney disease (causes, body systems affected, progression/staging )</w:t>
      </w:r>
    </w:p>
    <w:p w:rsidR="00000000" w:rsidRPr="006A7249" w:rsidP="006A7249">
      <w:pPr>
        <w:pStyle w:val="List2"/>
      </w:pPr>
      <w:r>
        <w:t>•</w:t>
      </w:r>
      <w:r>
        <w:tab/>
      </w:r>
      <w:r w:rsidRPr="006A7249">
        <w:t>importance of early detection of chronic kidney disease in effort to defer or prevent end-stage kidney disease</w:t>
      </w:r>
    </w:p>
    <w:p w:rsidR="00000000" w:rsidRPr="006A7249" w:rsidP="006A7249">
      <w:pPr>
        <w:pStyle w:val="List2"/>
      </w:pPr>
      <w:r>
        <w:t>•</w:t>
      </w:r>
      <w:r>
        <w:tab/>
      </w:r>
      <w:r w:rsidRPr="006A7249">
        <w:t>screening and monitoring of chronic kidney disease (including blood and urine tests)</w:t>
      </w:r>
    </w:p>
    <w:p w:rsidR="00000000" w:rsidRPr="006A7249" w:rsidP="006A7249">
      <w:pPr>
        <w:pStyle w:val="List2"/>
      </w:pPr>
      <w:r>
        <w:t>•</w:t>
      </w:r>
      <w:r>
        <w:tab/>
      </w:r>
      <w:r w:rsidRPr="006A7249">
        <w:t>strategies to delay progression of chronic kidney disease (including control of blood sugar, blood pressure and smoking cessation)</w:t>
      </w:r>
    </w:p>
    <w:p w:rsidR="00000000" w:rsidRPr="006A7249" w:rsidP="006A7249">
      <w:pPr>
        <w:pStyle w:val="List2"/>
      </w:pPr>
      <w:r>
        <w:t>•</w:t>
      </w:r>
      <w:r>
        <w:tab/>
      </w:r>
      <w:r w:rsidRPr="006A7249">
        <w:t>complications (including hypertens</w:t>
      </w:r>
      <w:r w:rsidRPr="006A7249">
        <w:t>ion, anaemia, bone demineralisation and high potassium levels) and major causes of death</w:t>
      </w:r>
    </w:p>
    <w:p w:rsidR="00000000" w:rsidRPr="006A7249" w:rsidP="006A7249">
      <w:pPr>
        <w:pStyle w:val="List2"/>
      </w:pPr>
      <w:r>
        <w:t>•</w:t>
      </w:r>
      <w:r>
        <w:tab/>
      </w:r>
      <w:r w:rsidRPr="006A7249">
        <w:t>options for management of end-stage kidney disease (palliative care, haemodialysis, continuous ambulatory peritoneal dialysis, transplant).</w:t>
      </w:r>
    </w:p>
    <w:p w:rsidR="00000000" w:rsidRPr="006A7249" w:rsidP="006A7249">
      <w:pPr>
        <w:pStyle w:val="List2"/>
      </w:pPr>
      <w:r>
        <w:t>•</w:t>
      </w:r>
      <w:r>
        <w:tab/>
      </w:r>
      <w:r w:rsidRPr="006A7249">
        <w:t>dilemmas and difficulti</w:t>
      </w:r>
      <w:r w:rsidRPr="006A7249">
        <w:t>es faced by Aboriginal and/or Torres Strait Islander people and their families who need to relocate to distant centres in order to access dialysis treatment</w:t>
      </w:r>
    </w:p>
    <w:p w:rsidR="00000000" w:rsidRPr="006A7249" w:rsidP="006A7249">
      <w:pPr>
        <w:pStyle w:val="ListBullet"/>
      </w:pPr>
      <w:r w:rsidRPr="006A7249">
        <w:t xml:space="preserve">supporting clients in self-care, including diet, physical activity, foot care, self-monitoring of </w:t>
      </w:r>
      <w:r w:rsidRPr="006A7249">
        <w:t>blood sugar, and use of diabetes medicines in relation to chronic renal disease, :</w:t>
      </w:r>
    </w:p>
    <w:p w:rsidR="00000000" w:rsidRPr="006A7249" w:rsidP="006A7249">
      <w:pPr>
        <w:pStyle w:val="List2"/>
      </w:pPr>
      <w:r>
        <w:t>•</w:t>
      </w:r>
      <w:r>
        <w:tab/>
      </w:r>
      <w:r w:rsidRPr="006A7249">
        <w:t>basic pathophysiology of chronic renal failure (causes, body systems affected, natural history)</w:t>
      </w:r>
    </w:p>
    <w:p w:rsidR="00000000" w:rsidRPr="006A7249" w:rsidP="006A7249">
      <w:pPr>
        <w:pStyle w:val="List2"/>
      </w:pPr>
      <w:r>
        <w:t>•</w:t>
      </w:r>
      <w:r>
        <w:tab/>
      </w:r>
      <w:r w:rsidRPr="006A7249">
        <w:t>factors which may worsen or accelerate renal failure (including: high blo</w:t>
      </w:r>
      <w:r w:rsidRPr="006A7249">
        <w:t>od pressure, anti-inflammatory drugs, poor diabetes control, dehydration, high protein diet)</w:t>
      </w:r>
    </w:p>
    <w:p w:rsidR="00000000" w:rsidRPr="006A7249" w:rsidP="006A7249">
      <w:pPr>
        <w:pStyle w:val="List2"/>
      </w:pPr>
      <w:r>
        <w:t>•</w:t>
      </w:r>
      <w:r>
        <w:tab/>
      </w:r>
      <w:r w:rsidRPr="006A7249">
        <w:t>clinical features of advanced renal failure</w:t>
      </w:r>
    </w:p>
    <w:p w:rsidR="00000000" w:rsidRPr="006A7249" w:rsidP="006A7249">
      <w:pPr>
        <w:pStyle w:val="List2"/>
      </w:pPr>
      <w:r>
        <w:t>•</w:t>
      </w:r>
      <w:r>
        <w:tab/>
      </w:r>
      <w:r w:rsidRPr="006A7249">
        <w:t>the importance of early detection of renal disease in efforts to defer or prevent end-stage renal failure</w:t>
      </w:r>
    </w:p>
    <w:p w:rsidR="00000000" w:rsidRPr="006A7249" w:rsidP="006A7249">
      <w:pPr>
        <w:pStyle w:val="List2"/>
      </w:pPr>
      <w:r>
        <w:t>•</w:t>
      </w:r>
      <w:r>
        <w:tab/>
      </w:r>
      <w:r w:rsidRPr="006A7249">
        <w:t>options</w:t>
      </w:r>
      <w:r w:rsidRPr="006A7249">
        <w:t xml:space="preserve"> for treatment of end-stage renal failure (haemodialysis, chronic ambulatory peritoneal dialysis, transplant)</w:t>
      </w:r>
    </w:p>
    <w:p w:rsidR="00000000" w:rsidRPr="006A7249" w:rsidP="006A7249">
      <w:pPr>
        <w:pStyle w:val="ListBullet"/>
      </w:pPr>
      <w:r w:rsidRPr="006A7249">
        <w:t>the dilemmas and difficulties faced by Aboriginal people and their families who need to relocate to distant centres in order to access dialysis t</w:t>
      </w:r>
      <w:r w:rsidRPr="006A7249">
        <w:t>reatment</w:t>
      </w:r>
    </w:p>
    <w:p w:rsidR="00000000" w:rsidRPr="006A7249" w:rsidP="006A7249">
      <w:pPr>
        <w:pStyle w:val="ListBullet"/>
      </w:pPr>
      <w:r w:rsidRPr="006A7249">
        <w:t>familiarity with a range of other common chronic conditions in Aboriginal populations:</w:t>
      </w:r>
    </w:p>
    <w:p w:rsidR="00000000" w:rsidRPr="006A7249" w:rsidP="006A7249">
      <w:pPr>
        <w:pStyle w:val="List2"/>
      </w:pPr>
      <w:r>
        <w:t>•</w:t>
      </w:r>
      <w:r>
        <w:tab/>
      </w:r>
      <w:r w:rsidRPr="006A7249">
        <w:t>chronic liver disease – causes, clinical features and principles of management (including hepatitis B, hepatitis C, alcoholic liver disease and cirrhosis)</w:t>
      </w:r>
    </w:p>
    <w:p w:rsidR="00000000" w:rsidRPr="006A7249" w:rsidP="006A7249">
      <w:pPr>
        <w:pStyle w:val="List2"/>
      </w:pPr>
      <w:r>
        <w:t>•</w:t>
      </w:r>
      <w:r>
        <w:tab/>
      </w:r>
      <w:r w:rsidRPr="006A7249">
        <w:t>c</w:t>
      </w:r>
      <w:r w:rsidRPr="006A7249">
        <w:t>hronic obstructive lung disease, relationship to smoking and principles of management</w:t>
      </w:r>
    </w:p>
    <w:p w:rsidR="00000000" w:rsidRPr="006A7249" w:rsidP="006A7249">
      <w:pPr>
        <w:pStyle w:val="ListBullet"/>
      </w:pPr>
      <w:r w:rsidRPr="006A7249">
        <w:t>agencies able to provide support and assistance to Aboriginal and/or Torres Strait Islander people with chronic disabilities</w:t>
      </w:r>
    </w:p>
    <w:p w:rsidR="00000000" w:rsidRPr="006A7249" w:rsidP="006A7249">
      <w:pPr>
        <w:pStyle w:val="ListBullet"/>
      </w:pPr>
      <w:r w:rsidRPr="006A7249">
        <w:t>strategies to assist Aboriginal and/or Torre</w:t>
      </w:r>
      <w:r w:rsidRPr="006A7249">
        <w:t>s Strait Islander people with disabilities to live fulfilling and productive lives in the community</w:t>
      </w:r>
    </w:p>
    <w:p w:rsidR="00000000" w:rsidRPr="006A7249" w:rsidP="006A7249">
      <w:pPr>
        <w:pStyle w:val="ListBullet"/>
      </w:pPr>
      <w:r w:rsidRPr="006A7249">
        <w:t>methods of organising care of clients with chronic conditions (e.g. disease registers, care plan schedules in medical files, tagging files, computerised cli</w:t>
      </w:r>
      <w:r w:rsidRPr="006A7249">
        <w:t>ent information and recall systems)</w:t>
      </w:r>
    </w:p>
    <w:p w:rsidR="00000000" w:rsidRPr="006A7249" w:rsidP="006A7249">
      <w:pPr>
        <w:pStyle w:val="ListBullet"/>
      </w:pPr>
      <w:r w:rsidRPr="006A7249">
        <w:t>value of the opportunistic approach to chronic condition surveillance (comprehensive check-ups as people come to the clinic)</w:t>
      </w:r>
    </w:p>
    <w:p w:rsidR="00000000" w:rsidRPr="006A7249" w:rsidP="006A7249">
      <w:pPr>
        <w:pStyle w:val="AllowPageBreak"/>
      </w:pPr>
    </w:p>
    <w:p w:rsidR="00000000" w:rsidRPr="006A7249" w:rsidP="006A7249">
      <w:pPr>
        <w:pStyle w:val="Heading1"/>
      </w:pPr>
      <w:bookmarkStart w:id="10" w:name="O_745031"/>
      <w:bookmarkEnd w:id="10"/>
      <w:r w:rsidRPr="006A7249">
        <w:t>Assessment Conditions</w:t>
      </w:r>
    </w:p>
    <w:p w:rsidR="00000000" w:rsidRPr="006A7249" w:rsidP="001E7A28">
      <w:pPr>
        <w:pStyle w:val="BodyText"/>
      </w:pPr>
      <w:r w:rsidRPr="006A7249">
        <w:t>Skills must be demonstrated working:</w:t>
      </w:r>
    </w:p>
    <w:p w:rsidR="00000000" w:rsidRPr="006A7249" w:rsidP="006A7249">
      <w:pPr>
        <w:pStyle w:val="ListBullet"/>
      </w:pPr>
      <w:r w:rsidRPr="006A7249">
        <w:t>in a health service or centre</w:t>
      </w:r>
    </w:p>
    <w:p w:rsidR="00000000" w:rsidRPr="006A7249" w:rsidP="006A7249">
      <w:pPr>
        <w:pStyle w:val="ListBullet"/>
      </w:pPr>
      <w:r w:rsidRPr="006A7249">
        <w:t xml:space="preserve">as part of a multidisciplinary primary health care team </w:t>
      </w:r>
    </w:p>
    <w:p w:rsidR="00000000" w:rsidRPr="006A7249" w:rsidP="006A7249">
      <w:pPr>
        <w:pStyle w:val="ListBullet"/>
      </w:pPr>
      <w:r w:rsidRPr="006A7249">
        <w:t xml:space="preserve">with Aboriginal and/or Torres Strait Islander clients and communities. </w:t>
      </w:r>
    </w:p>
    <w:p w:rsidR="00000000" w:rsidRPr="006A7249" w:rsidP="006A7249">
      <w:pPr>
        <w:pStyle w:val="BodyText"/>
      </w:pPr>
    </w:p>
    <w:p w:rsidR="00000000" w:rsidRPr="006A7249" w:rsidP="001E7A28">
      <w:pPr>
        <w:pStyle w:val="BodyText"/>
      </w:pPr>
      <w:r w:rsidRPr="006A7249">
        <w:t>In addition, simulations and scenarios must be used where the full range of contexts and situati</w:t>
      </w:r>
      <w:r w:rsidRPr="006A7249">
        <w:t xml:space="preserve">ons cannot be provided in the workplace or may occur only rarely. These are situations relating to emergency or unplanned procedures where assessment in these circumstances would be unsafe or is impractical. </w:t>
      </w:r>
    </w:p>
    <w:p w:rsidR="00000000" w:rsidRPr="006A7249" w:rsidP="001E7A28">
      <w:pPr>
        <w:pStyle w:val="BodyText"/>
      </w:pPr>
      <w:r w:rsidRPr="006A7249">
        <w:t>Simulated assessment environments must simulat</w:t>
      </w:r>
      <w:r w:rsidRPr="006A7249">
        <w:t>e the real-life working environment where these skills and knowledge would be performed, with all the relevant equipment and resources of that working environment, including medical equipment used to conduct checkups, such as sphygmomanometer and glucomete</w:t>
      </w:r>
      <w:r w:rsidRPr="006A7249">
        <w:t>r to monitor blood pressure and blood sugar.</w:t>
      </w:r>
    </w:p>
    <w:p w:rsidR="00000000" w:rsidRPr="006A7249" w:rsidP="001E7A28">
      <w:pPr>
        <w:pStyle w:val="BodyText"/>
      </w:pPr>
      <w:r w:rsidRPr="006A7249">
        <w:t>Assessors must satisfy the Standards for Registered Training Organisations (RTOs) 2015/AQTF mandatory competency requirements for assessors.</w:t>
      </w:r>
    </w:p>
    <w:p w:rsidR="00000000" w:rsidRPr="006A7249" w:rsidP="001E7A28">
      <w:pPr>
        <w:pStyle w:val="BodyText"/>
      </w:pPr>
      <w:r w:rsidRPr="006A7249">
        <w:t>Assessment must be undertaken by a workplace assessor who has exper</w:t>
      </w:r>
      <w:r w:rsidRPr="006A7249">
        <w:t>tise in this unit of competency and who is:</w:t>
      </w:r>
    </w:p>
    <w:p w:rsidR="00000000" w:rsidRPr="006A7249" w:rsidP="001E7A28">
      <w:pPr>
        <w:pStyle w:val="BodyText"/>
      </w:pPr>
      <w:r w:rsidRPr="006A7249">
        <w:t>an Aboriginal and/or Torres Strait Islander Health Worker</w:t>
      </w:r>
      <w:r>
        <w:t xml:space="preserve"> </w:t>
      </w:r>
      <w:r w:rsidRPr="006A7249">
        <w:t>or:</w:t>
      </w:r>
    </w:p>
    <w:p w:rsidR="00000000" w:rsidRPr="006A7249" w:rsidP="006A7249">
      <w:pPr>
        <w:pStyle w:val="ListBullet"/>
      </w:pPr>
      <w:r w:rsidRPr="006A7249">
        <w:t>accompanied by an Aboriginal and/or Torres Strait Islander person who is a recognised member of the community with experience in primary health care</w:t>
      </w:r>
      <w:r w:rsidRPr="006A7249">
        <w:t>.</w:t>
      </w:r>
    </w:p>
    <w:p w:rsidR="00000000" w:rsidRPr="006A7249" w:rsidP="006A7249">
      <w:pPr>
        <w:pStyle w:val="AllowPageBreak"/>
      </w:pPr>
    </w:p>
    <w:p w:rsidR="00000000" w:rsidRPr="006A7249" w:rsidP="006A7249">
      <w:pPr>
        <w:pStyle w:val="Heading1"/>
      </w:pPr>
      <w:bookmarkStart w:id="11" w:name="O_745042"/>
      <w:bookmarkEnd w:id="11"/>
      <w:r w:rsidRPr="006A7249">
        <w:t>Links</w:t>
      </w:r>
    </w:p>
    <w:p w:rsidR="00000000" w:rsidRPr="006A7249" w:rsidP="001E7A28">
      <w:pPr>
        <w:pStyle w:val="BodyText"/>
      </w:pPr>
      <w:r w:rsidRPr="006A724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E0C41">
        <w:rPr>
          <w:rStyle w:val="Hyperlink"/>
        </w:rPr>
        <w:t>https://vetnet.gov.au/Pages/TrainingDocs.aspx?q=ced1390f-48d9-4ab0-bd50-b015e5485705</w:t>
      </w:r>
      <w:r>
        <w:fldChar w:fldCharType="end"/>
      </w:r>
    </w:p>
    <w:p w:rsidR="00000000" w:rsidRPr="006A7249" w:rsidP="006A7249"/>
    <w:sectPr w:rsidSect="006A72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49" w:rsidRPr="001E7A28" w:rsidP="001E7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28" w:rsidP="006A7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E7A28" w:rsidP="006A72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E7A28" w:rsidP="006A72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49" w:rsidP="006A7249">
    <w:pPr>
      <w:pStyle w:val="Footer"/>
      <w:framePr w:wrap="around"/>
    </w:pPr>
    <w:r>
      <w:fldChar w:fldCharType="begin"/>
    </w:r>
    <w:r>
      <w:instrText xml:space="preserve"> DOCPROPERTY  Subject  \* MERGEFORMAT </w:instrText>
    </w:r>
    <w:r>
      <w:fldChar w:fldCharType="separate"/>
    </w:r>
    <w:r w:rsidR="001E7A28">
      <w:t>Approved</w:t>
    </w:r>
    <w:r w:rsidR="001E7A28">
      <w:fldChar w:fldCharType="end"/>
    </w:r>
    <w:r>
      <w:tab/>
      <w:t xml:space="preserve">Page </w:t>
    </w:r>
    <w:r>
      <w:fldChar w:fldCharType="begin"/>
    </w:r>
    <w:r>
      <w:instrText xml:space="preserve"> PAGE  \* Arabic  \* MERGEFORMAT </w:instrText>
    </w:r>
    <w:r>
      <w:fldChar w:fldCharType="separate"/>
    </w:r>
    <w:r w:rsidR="001E7A2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7A28">
      <w:rPr>
        <w:noProof/>
      </w:rPr>
      <w:t>7</w:t>
    </w:r>
    <w:r>
      <w:rPr>
        <w:noProof/>
      </w:rPr>
      <w:fldChar w:fldCharType="end"/>
    </w:r>
  </w:p>
  <w:p w:rsidR="006A7249" w:rsidP="006A7249">
    <w:pPr>
      <w:pStyle w:val="Footer"/>
      <w:framePr w:wrap="around"/>
    </w:pPr>
    <w:r>
      <w:t xml:space="preserve">© Commonwealth of Australia, </w:t>
    </w:r>
    <w:r>
      <w:fldChar w:fldCharType="begin"/>
    </w:r>
    <w:r>
      <w:instrText xml:space="preserve"> DATE  \@ "yyyy"  \* MERGEFORMAT </w:instrText>
    </w:r>
    <w:r>
      <w:fldChar w:fldCharType="separate"/>
    </w:r>
    <w:r w:rsidR="001E7A28">
      <w:rPr>
        <w:noProof/>
      </w:rPr>
      <w:t>2025</w:t>
    </w:r>
    <w:r>
      <w:fldChar w:fldCharType="end"/>
    </w:r>
    <w:r>
      <w:tab/>
    </w:r>
    <w:r>
      <w:fldChar w:fldCharType="begin"/>
    </w:r>
    <w:r>
      <w:instrText xml:space="preserve"> DOCPROPERTY  Author  \* MERGEFORMAT </w:instrText>
    </w:r>
    <w:r>
      <w:fldChar w:fldCharType="separate"/>
    </w:r>
    <w:r w:rsidR="001E7A28">
      <w:t>HumanAbility</w:t>
    </w:r>
    <w:r w:rsidR="001E7A28">
      <w:fldChar w:fldCharType="end"/>
    </w:r>
  </w:p>
  <w:p w:rsidR="006A7249" w:rsidP="006A72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249" w:rsidRPr="001E7A28" w:rsidP="001E7A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28" w:rsidRPr="002D2AF8" w:rsidP="006A7249">
    <w:pPr>
      <w:pStyle w:val="Header"/>
      <w:framePr w:wrap="around"/>
    </w:pPr>
    <w:r>
      <w:fldChar w:fldCharType="begin"/>
    </w:r>
    <w:r>
      <w:instrText xml:space="preserve"> TITLE   \* MERGEFORMAT </w:instrText>
    </w:r>
    <w:r>
      <w:fldChar w:fldCharType="separate"/>
    </w:r>
    <w:r>
      <w:t>HLTAHW028 Provide information and strategies in chronic condition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7A28" w:rsidP="006A72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49" w:rsidRPr="002D2AF8" w:rsidP="006A7249">
    <w:pPr>
      <w:pStyle w:val="Header"/>
      <w:framePr w:wrap="around"/>
    </w:pPr>
    <w:r>
      <w:fldChar w:fldCharType="begin"/>
    </w:r>
    <w:r>
      <w:instrText xml:space="preserve"> TITLE   \* MERGEFORMAT </w:instrText>
    </w:r>
    <w:r>
      <w:fldChar w:fldCharType="separate"/>
    </w:r>
    <w:r w:rsidR="001E7A28">
      <w:t>HLTAHW028 Provide information and strategies in chronic condition care</w:t>
    </w:r>
    <w:r w:rsidR="001E7A28">
      <w:fldChar w:fldCharType="end"/>
    </w:r>
    <w:r>
      <w:tab/>
      <w:t xml:space="preserve">Date this document was generated: </w:t>
    </w:r>
    <w:r>
      <w:fldChar w:fldCharType="begin"/>
    </w:r>
    <w:r>
      <w:instrText xml:space="preserve"> CREATEDATE  \@ "d MMMM yyyy"  \* MERGEFORMAT </w:instrText>
    </w:r>
    <w:r>
      <w:fldChar w:fldCharType="separate"/>
    </w:r>
    <w:r w:rsidR="001E7A28">
      <w:rPr>
        <w:noProof/>
      </w:rPr>
      <w:t>2 March 2025</w:t>
    </w:r>
    <w:r>
      <w:fldChar w:fldCharType="end"/>
    </w:r>
  </w:p>
  <w:p w:rsidR="006A7249" w:rsidP="006A7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D092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A6CB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249"/>
    <w:pPr>
      <w:spacing w:before="360" w:after="60"/>
      <w:outlineLvl w:val="0"/>
    </w:pPr>
    <w:rPr>
      <w:sz w:val="32"/>
    </w:rPr>
  </w:style>
  <w:style w:type="paragraph" w:styleId="Heading2">
    <w:name w:val="heading 2"/>
    <w:basedOn w:val="HeadingBase"/>
    <w:next w:val="BodyText"/>
    <w:link w:val="Heading2Char"/>
    <w:qFormat/>
    <w:rsid w:val="006A7249"/>
    <w:pPr>
      <w:keepLines/>
      <w:spacing w:before="240" w:after="120"/>
      <w:outlineLvl w:val="1"/>
    </w:pPr>
    <w:rPr>
      <w:sz w:val="28"/>
      <w:szCs w:val="40"/>
    </w:rPr>
  </w:style>
  <w:style w:type="paragraph" w:styleId="Heading3">
    <w:name w:val="heading 3"/>
    <w:basedOn w:val="HeadingBase"/>
    <w:next w:val="BodyText"/>
    <w:link w:val="Heading3Char"/>
    <w:qFormat/>
    <w:rsid w:val="006A7249"/>
    <w:pPr>
      <w:spacing w:before="180" w:after="120"/>
      <w:outlineLvl w:val="2"/>
    </w:pPr>
    <w:rPr>
      <w:spacing w:val="-10"/>
      <w:kern w:val="32"/>
    </w:rPr>
  </w:style>
  <w:style w:type="paragraph" w:styleId="Heading4">
    <w:name w:val="heading 4"/>
    <w:basedOn w:val="HeadingBase"/>
    <w:next w:val="BodyText"/>
    <w:link w:val="Heading4Char"/>
    <w:qFormat/>
    <w:rsid w:val="006A7249"/>
    <w:pPr>
      <w:spacing w:before="160" w:after="120"/>
      <w:outlineLvl w:val="3"/>
    </w:pPr>
    <w:rPr>
      <w:sz w:val="22"/>
    </w:rPr>
  </w:style>
  <w:style w:type="paragraph" w:styleId="Heading5">
    <w:name w:val="heading 5"/>
    <w:basedOn w:val="HeadingBase"/>
    <w:next w:val="Normal"/>
    <w:link w:val="Heading5Char"/>
    <w:qFormat/>
    <w:rsid w:val="006A7249"/>
    <w:pPr>
      <w:spacing w:before="80"/>
      <w:outlineLvl w:val="4"/>
    </w:pPr>
    <w:rPr>
      <w:color w:val="918585"/>
      <w:sz w:val="20"/>
    </w:rPr>
  </w:style>
  <w:style w:type="paragraph" w:styleId="Heading6">
    <w:name w:val="heading 6"/>
    <w:basedOn w:val="HeadingBase"/>
    <w:next w:val="Normal"/>
    <w:link w:val="Heading6Char"/>
    <w:qFormat/>
    <w:rsid w:val="006A7249"/>
    <w:pPr>
      <w:spacing w:before="60"/>
      <w:outlineLvl w:val="5"/>
    </w:pPr>
    <w:rPr>
      <w:color w:val="918585"/>
      <w:sz w:val="20"/>
    </w:rPr>
  </w:style>
  <w:style w:type="paragraph" w:styleId="Heading7">
    <w:name w:val="heading 7"/>
    <w:basedOn w:val="Normal"/>
    <w:next w:val="Normal"/>
    <w:link w:val="Heading7Char"/>
    <w:qFormat/>
    <w:rsid w:val="006A7249"/>
    <w:pPr>
      <w:ind w:left="720"/>
      <w:outlineLvl w:val="6"/>
    </w:pPr>
    <w:rPr>
      <w:i/>
    </w:rPr>
  </w:style>
  <w:style w:type="paragraph" w:styleId="Heading8">
    <w:name w:val="heading 8"/>
    <w:basedOn w:val="Normal"/>
    <w:next w:val="Normal"/>
    <w:link w:val="Heading8Char"/>
    <w:qFormat/>
    <w:rsid w:val="006A7249"/>
    <w:pPr>
      <w:ind w:left="720"/>
      <w:outlineLvl w:val="7"/>
    </w:pPr>
    <w:rPr>
      <w:i/>
    </w:rPr>
  </w:style>
  <w:style w:type="paragraph" w:styleId="Heading9">
    <w:name w:val="heading 9"/>
    <w:basedOn w:val="Normal"/>
    <w:next w:val="Normal"/>
    <w:link w:val="Heading9Char"/>
    <w:qFormat/>
    <w:rsid w:val="006A7249"/>
    <w:pPr>
      <w:ind w:left="720"/>
      <w:outlineLvl w:val="8"/>
    </w:pPr>
    <w:rPr>
      <w:i/>
    </w:rPr>
  </w:style>
  <w:style w:type="character" w:default="1" w:styleId="DefaultParagraphFont">
    <w:name w:val="Default Paragraph Font"/>
    <w:uiPriority w:val="1"/>
    <w:unhideWhenUsed/>
    <w:rsid w:val="006A7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249"/>
  </w:style>
  <w:style w:type="character" w:customStyle="1" w:styleId="Heading1Char">
    <w:name w:val="Heading 1 Char"/>
    <w:basedOn w:val="DefaultParagraphFont"/>
    <w:link w:val="Heading1"/>
    <w:rsid w:val="006A7249"/>
    <w:rPr>
      <w:rFonts w:ascii="Times New Roman" w:eastAsia="Times New Roman" w:hAnsi="Times New Roman" w:cs="Times New Roman"/>
      <w:b/>
      <w:sz w:val="32"/>
      <w:szCs w:val="20"/>
      <w:lang w:eastAsia="en-US"/>
    </w:rPr>
  </w:style>
  <w:style w:type="paragraph" w:styleId="BodyText">
    <w:name w:val="Body Text"/>
    <w:basedOn w:val="Normal"/>
    <w:link w:val="BodyTextChar"/>
    <w:rsid w:val="006A72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249"/>
    <w:rPr>
      <w:rFonts w:ascii="Times New Roman" w:eastAsia="Times New Roman" w:hAnsi="Times New Roman" w:cs="Times New Roman"/>
      <w:sz w:val="24"/>
      <w:lang w:eastAsia="en-US"/>
    </w:rPr>
  </w:style>
  <w:style w:type="paragraph" w:styleId="ListBullet">
    <w:name w:val="List Bullet"/>
    <w:basedOn w:val="List"/>
    <w:rsid w:val="006A7249"/>
    <w:pPr>
      <w:numPr>
        <w:numId w:val="11"/>
      </w:numPr>
      <w:tabs>
        <w:tab w:val="clear" w:pos="340"/>
      </w:tabs>
      <w:spacing w:before="40" w:after="40"/>
    </w:pPr>
  </w:style>
  <w:style w:type="character" w:customStyle="1" w:styleId="SpecialBold">
    <w:name w:val="Special Bold"/>
    <w:basedOn w:val="DefaultParagraphFont"/>
    <w:rsid w:val="006A7249"/>
    <w:rPr>
      <w:b/>
      <w:spacing w:val="0"/>
    </w:rPr>
  </w:style>
  <w:style w:type="character" w:styleId="Emphasis">
    <w:name w:val="Emphasis"/>
    <w:basedOn w:val="DefaultParagraphFont"/>
    <w:qFormat/>
    <w:rsid w:val="006A7249"/>
    <w:rPr>
      <w:i/>
    </w:rPr>
  </w:style>
  <w:style w:type="paragraph" w:customStyle="1" w:styleId="SuperHeading">
    <w:name w:val="SuperHeading"/>
    <w:basedOn w:val="Normal"/>
    <w:rsid w:val="006A7249"/>
    <w:pPr>
      <w:spacing w:before="240" w:after="120"/>
      <w:outlineLvl w:val="0"/>
    </w:pPr>
    <w:rPr>
      <w:rFonts w:ascii="Times New Roman" w:hAnsi="Times New Roman"/>
      <w:b/>
      <w:sz w:val="32"/>
    </w:rPr>
  </w:style>
  <w:style w:type="paragraph" w:customStyle="1" w:styleId="AllowPageBreak">
    <w:name w:val="AllowPageBreak"/>
    <w:rsid w:val="006A72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7249"/>
    <w:pPr>
      <w:tabs>
        <w:tab w:val="left" w:pos="680"/>
      </w:tabs>
      <w:spacing w:before="60" w:after="60"/>
      <w:ind w:left="680" w:hanging="340"/>
    </w:pPr>
  </w:style>
  <w:style w:type="character" w:customStyle="1" w:styleId="Heading2Char">
    <w:name w:val="Heading 2 Char"/>
    <w:basedOn w:val="DefaultParagraphFont"/>
    <w:link w:val="Heading2"/>
    <w:rsid w:val="006A7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249"/>
    <w:rPr>
      <w:rFonts w:ascii="Courier New" w:eastAsia="Times New Roman" w:hAnsi="Courier New" w:cs="Times New Roman"/>
      <w:i/>
      <w:szCs w:val="20"/>
      <w:lang w:eastAsia="en-US"/>
    </w:rPr>
  </w:style>
  <w:style w:type="paragraph" w:customStyle="1" w:styleId="HeadingBase">
    <w:name w:val="Heading Base"/>
    <w:rsid w:val="006A7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249"/>
    <w:pPr>
      <w:tabs>
        <w:tab w:val="right" w:leader="dot" w:pos="9072"/>
      </w:tabs>
      <w:ind w:left="567"/>
    </w:pPr>
    <w:rPr>
      <w:szCs w:val="22"/>
    </w:rPr>
  </w:style>
  <w:style w:type="paragraph" w:customStyle="1" w:styleId="TOCBase">
    <w:name w:val="TOC Base"/>
    <w:rsid w:val="006A7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249"/>
    <w:pPr>
      <w:tabs>
        <w:tab w:val="right" w:leader="dot" w:pos="9072"/>
      </w:tabs>
      <w:spacing w:before="40" w:after="40"/>
      <w:ind w:left="284"/>
    </w:pPr>
    <w:rPr>
      <w:rFonts w:ascii="Times New Roman" w:hAnsi="Times New Roman"/>
    </w:rPr>
  </w:style>
  <w:style w:type="paragraph" w:styleId="TOC1">
    <w:name w:val="toc 1"/>
    <w:basedOn w:val="TOCBase"/>
    <w:next w:val="Normal"/>
    <w:rsid w:val="006A72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249"/>
    <w:rPr>
      <w:rFonts w:ascii="Times New Roman" w:eastAsia="Times New Roman" w:hAnsi="Times New Roman" w:cs="Times New Roman"/>
      <w:sz w:val="16"/>
      <w:lang w:eastAsia="en-US"/>
    </w:rPr>
  </w:style>
  <w:style w:type="paragraph" w:styleId="Title">
    <w:name w:val="Title"/>
    <w:basedOn w:val="HeadingBase"/>
    <w:link w:val="TitleChar"/>
    <w:qFormat/>
    <w:rsid w:val="006A7249"/>
    <w:pPr>
      <w:spacing w:before="5040"/>
      <w:jc w:val="center"/>
    </w:pPr>
    <w:rPr>
      <w:sz w:val="48"/>
      <w:szCs w:val="72"/>
      <w:lang w:val="en-US"/>
    </w:rPr>
  </w:style>
  <w:style w:type="character" w:customStyle="1" w:styleId="TitleChar">
    <w:name w:val="Title Char"/>
    <w:basedOn w:val="DefaultParagraphFont"/>
    <w:link w:val="Title"/>
    <w:rsid w:val="006A7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249"/>
    <w:pPr>
      <w:tabs>
        <w:tab w:val="left" w:pos="3600"/>
        <w:tab w:val="left" w:pos="3958"/>
      </w:tabs>
    </w:pPr>
  </w:style>
  <w:style w:type="paragraph" w:styleId="List">
    <w:name w:val="List"/>
    <w:basedOn w:val="BodyText"/>
    <w:next w:val="BodyText"/>
    <w:rsid w:val="006A7249"/>
    <w:pPr>
      <w:tabs>
        <w:tab w:val="left" w:pos="340"/>
      </w:tabs>
      <w:spacing w:before="60" w:after="60"/>
      <w:ind w:left="340" w:hanging="340"/>
    </w:pPr>
  </w:style>
  <w:style w:type="paragraph" w:customStyle="1" w:styleId="Note">
    <w:name w:val="Note"/>
    <w:basedOn w:val="BodyText"/>
    <w:rsid w:val="006A7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249"/>
    <w:pPr>
      <w:framePr w:wrap="auto" w:hAnchor="text" w:y="6049"/>
    </w:pPr>
    <w:rPr>
      <w:color w:val="000000"/>
      <w:sz w:val="40"/>
    </w:rPr>
  </w:style>
  <w:style w:type="paragraph" w:customStyle="1" w:styleId="TOCTitle">
    <w:name w:val="TOCTitle"/>
    <w:basedOn w:val="Heading1"/>
    <w:rsid w:val="006A7249"/>
    <w:pPr>
      <w:spacing w:after="240"/>
      <w:jc w:val="center"/>
      <w:outlineLvl w:val="9"/>
    </w:pPr>
    <w:rPr>
      <w:caps/>
    </w:rPr>
  </w:style>
  <w:style w:type="paragraph" w:customStyle="1" w:styleId="Version">
    <w:name w:val="Version"/>
    <w:rsid w:val="006A72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7249"/>
    <w:pPr>
      <w:numPr>
        <w:numId w:val="12"/>
      </w:numPr>
      <w:tabs>
        <w:tab w:val="clear" w:pos="680"/>
      </w:tabs>
    </w:pPr>
  </w:style>
  <w:style w:type="paragraph" w:styleId="Index1">
    <w:name w:val="index 1"/>
    <w:basedOn w:val="Normal"/>
    <w:next w:val="Normal"/>
    <w:semiHidden/>
    <w:rsid w:val="006A7249"/>
    <w:pPr>
      <w:keepNext w:val="0"/>
      <w:tabs>
        <w:tab w:val="right" w:pos="4176"/>
      </w:tabs>
      <w:ind w:left="198" w:hanging="198"/>
    </w:pPr>
    <w:rPr>
      <w:rFonts w:ascii="Garamond" w:hAnsi="Garamond"/>
    </w:rPr>
  </w:style>
  <w:style w:type="paragraph" w:styleId="IndexHeading">
    <w:name w:val="index heading"/>
    <w:basedOn w:val="Normal"/>
    <w:next w:val="Index1"/>
    <w:semiHidden/>
    <w:rsid w:val="006A7249"/>
    <w:pPr>
      <w:spacing w:before="120" w:after="120"/>
    </w:pPr>
    <w:rPr>
      <w:rFonts w:ascii="Arial" w:hAnsi="Arial"/>
      <w:b/>
      <w:color w:val="918585"/>
      <w:sz w:val="24"/>
    </w:rPr>
  </w:style>
  <w:style w:type="paragraph" w:styleId="Header">
    <w:name w:val="header"/>
    <w:basedOn w:val="Normal"/>
    <w:link w:val="HeaderChar"/>
    <w:rsid w:val="006A7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249"/>
    <w:rPr>
      <w:rFonts w:ascii="Times New Roman" w:eastAsia="Times New Roman" w:hAnsi="Times New Roman" w:cs="Times New Roman"/>
      <w:sz w:val="16"/>
      <w:szCs w:val="20"/>
      <w:lang w:val="en-GB" w:eastAsia="en-US"/>
    </w:rPr>
  </w:style>
  <w:style w:type="paragraph" w:customStyle="1" w:styleId="Chapter">
    <w:name w:val="Chapter"/>
    <w:basedOn w:val="Normal"/>
    <w:rsid w:val="006A7249"/>
    <w:pPr>
      <w:spacing w:before="240"/>
    </w:pPr>
    <w:rPr>
      <w:rFonts w:ascii="Times New Roman" w:hAnsi="Times New Roman"/>
      <w:smallCaps/>
      <w:spacing w:val="80"/>
      <w:sz w:val="28"/>
    </w:rPr>
  </w:style>
  <w:style w:type="paragraph" w:customStyle="1" w:styleId="InChapter">
    <w:name w:val="InChapter"/>
    <w:basedOn w:val="Heading3"/>
    <w:rsid w:val="006A7249"/>
    <w:pPr>
      <w:spacing w:after="240"/>
      <w:outlineLvl w:val="9"/>
    </w:pPr>
    <w:rPr>
      <w:noProof/>
    </w:rPr>
  </w:style>
  <w:style w:type="paragraph" w:styleId="Index2">
    <w:name w:val="index 2"/>
    <w:basedOn w:val="Normal"/>
    <w:next w:val="Normal"/>
    <w:semiHidden/>
    <w:rsid w:val="006A7249"/>
    <w:pPr>
      <w:tabs>
        <w:tab w:val="right" w:pos="4176"/>
      </w:tabs>
      <w:ind w:left="568" w:hanging="284"/>
    </w:pPr>
    <w:rPr>
      <w:rFonts w:ascii="Garamond" w:hAnsi="Garamond"/>
    </w:rPr>
  </w:style>
  <w:style w:type="paragraph" w:customStyle="1" w:styleId="Byline">
    <w:name w:val="Byline"/>
    <w:rsid w:val="006A7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249"/>
    <w:pPr>
      <w:tabs>
        <w:tab w:val="clear" w:pos="3600"/>
        <w:tab w:val="clear" w:pos="3958"/>
      </w:tabs>
      <w:jc w:val="right"/>
    </w:pPr>
  </w:style>
  <w:style w:type="paragraph" w:styleId="Caption">
    <w:name w:val="caption"/>
    <w:basedOn w:val="BodyText"/>
    <w:next w:val="Normal"/>
    <w:qFormat/>
    <w:rsid w:val="006A7249"/>
    <w:pPr>
      <w:framePr w:w="2268" w:hSpace="181" w:vSpace="181" w:wrap="around" w:vAnchor="text" w:hAnchor="page" w:x="1135" w:y="285" w:anchorLock="1"/>
    </w:pPr>
    <w:rPr>
      <w:i/>
    </w:rPr>
  </w:style>
  <w:style w:type="paragraph" w:customStyle="1" w:styleId="MiniTOCTitle">
    <w:name w:val="MiniTOCTitle"/>
    <w:basedOn w:val="Heading4"/>
    <w:rsid w:val="006A7249"/>
    <w:pPr>
      <w:spacing w:before="240"/>
      <w:outlineLvl w:val="9"/>
    </w:pPr>
    <w:rPr>
      <w:noProof/>
      <w:sz w:val="24"/>
    </w:rPr>
  </w:style>
  <w:style w:type="paragraph" w:customStyle="1" w:styleId="MiniTOCItem">
    <w:name w:val="MiniTOCItem"/>
    <w:basedOn w:val="ListBullet"/>
    <w:rsid w:val="006A7249"/>
    <w:pPr>
      <w:numPr>
        <w:numId w:val="0"/>
      </w:numPr>
      <w:tabs>
        <w:tab w:val="right" w:leader="dot" w:pos="6521"/>
      </w:tabs>
      <w:spacing w:before="0" w:after="0"/>
    </w:pPr>
  </w:style>
  <w:style w:type="paragraph" w:customStyle="1" w:styleId="TOFTitle">
    <w:name w:val="TOFTitle"/>
    <w:basedOn w:val="TOCTitle"/>
    <w:rsid w:val="006A7249"/>
  </w:style>
  <w:style w:type="paragraph" w:styleId="TableofFigures">
    <w:name w:val="table of figures"/>
    <w:basedOn w:val="Normal"/>
    <w:next w:val="Normal"/>
    <w:semiHidden/>
    <w:rsid w:val="006A7249"/>
    <w:pPr>
      <w:tabs>
        <w:tab w:val="right" w:leader="dot" w:pos="9072"/>
      </w:tabs>
      <w:ind w:left="970" w:hanging="403"/>
    </w:pPr>
    <w:rPr>
      <w:rFonts w:ascii="Times New Roman" w:hAnsi="Times New Roman"/>
      <w:b/>
    </w:rPr>
  </w:style>
  <w:style w:type="paragraph" w:styleId="ListNumber">
    <w:name w:val="List Number"/>
    <w:basedOn w:val="List"/>
    <w:rsid w:val="006A7249"/>
    <w:pPr>
      <w:numPr>
        <w:numId w:val="14"/>
      </w:numPr>
      <w:tabs>
        <w:tab w:val="clear" w:pos="340"/>
      </w:tabs>
    </w:pPr>
  </w:style>
  <w:style w:type="character" w:customStyle="1" w:styleId="WingdingSymbols">
    <w:name w:val="Wingding Symbols"/>
    <w:rsid w:val="006A7249"/>
    <w:rPr>
      <w:rFonts w:ascii="Wingdings" w:hAnsi="Wingdings"/>
    </w:rPr>
  </w:style>
  <w:style w:type="paragraph" w:customStyle="1" w:styleId="TableHeading">
    <w:name w:val="Table Heading"/>
    <w:basedOn w:val="HeadingBase"/>
    <w:rsid w:val="006A7249"/>
    <w:pPr>
      <w:keepLines/>
      <w:pBdr>
        <w:bottom w:val="single" w:sz="6" w:space="1" w:color="918585"/>
      </w:pBdr>
      <w:spacing w:before="240"/>
    </w:pPr>
  </w:style>
  <w:style w:type="character" w:customStyle="1" w:styleId="HotSpot">
    <w:name w:val="HotSpot"/>
    <w:rsid w:val="006A7249"/>
    <w:rPr>
      <w:color w:val="0033CC"/>
      <w:u w:val="none"/>
    </w:rPr>
  </w:style>
  <w:style w:type="paragraph" w:customStyle="1" w:styleId="BodyTextRight">
    <w:name w:val="Body Text Right"/>
    <w:basedOn w:val="BodyText"/>
    <w:rsid w:val="006A7249"/>
    <w:pPr>
      <w:spacing w:before="0" w:after="0"/>
      <w:jc w:val="right"/>
    </w:pPr>
  </w:style>
  <w:style w:type="paragraph" w:styleId="Index3">
    <w:name w:val="index 3"/>
    <w:basedOn w:val="ListNumber2"/>
    <w:next w:val="Normal"/>
    <w:semiHidden/>
    <w:rsid w:val="006A7249"/>
    <w:pPr>
      <w:numPr>
        <w:numId w:val="0"/>
      </w:numPr>
      <w:tabs>
        <w:tab w:val="right" w:leader="dot" w:pos="4176"/>
      </w:tabs>
    </w:pPr>
  </w:style>
  <w:style w:type="paragraph" w:styleId="ListNumber2">
    <w:name w:val="List Number 2"/>
    <w:basedOn w:val="List2"/>
    <w:rsid w:val="006A7249"/>
    <w:pPr>
      <w:numPr>
        <w:numId w:val="9"/>
      </w:numPr>
      <w:tabs>
        <w:tab w:val="clear" w:pos="1060"/>
      </w:tabs>
    </w:pPr>
  </w:style>
  <w:style w:type="paragraph" w:customStyle="1" w:styleId="MarginNote">
    <w:name w:val="Margin Note"/>
    <w:basedOn w:val="BodyText"/>
    <w:rsid w:val="006A7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249"/>
    <w:rPr>
      <w:sz w:val="32"/>
    </w:rPr>
  </w:style>
  <w:style w:type="paragraph" w:customStyle="1" w:styleId="HeadingProcedure">
    <w:name w:val="Heading Procedure"/>
    <w:basedOn w:val="HeadingBase"/>
    <w:next w:val="Normal"/>
    <w:rsid w:val="006A7249"/>
    <w:pPr>
      <w:tabs>
        <w:tab w:val="left" w:pos="0"/>
      </w:tabs>
      <w:spacing w:before="120" w:after="60"/>
    </w:pPr>
    <w:rPr>
      <w:i/>
      <w:color w:val="918585"/>
      <w:sz w:val="22"/>
    </w:rPr>
  </w:style>
  <w:style w:type="paragraph" w:customStyle="1" w:styleId="TableBodyText">
    <w:name w:val="Table Body Text"/>
    <w:basedOn w:val="BodyText"/>
    <w:rsid w:val="006A7249"/>
    <w:pPr>
      <w:spacing w:before="60" w:after="60"/>
    </w:pPr>
  </w:style>
  <w:style w:type="paragraph" w:styleId="ListContinue">
    <w:name w:val="List Continue"/>
    <w:basedOn w:val="List"/>
    <w:rsid w:val="006A7249"/>
    <w:pPr>
      <w:ind w:firstLine="0"/>
    </w:pPr>
  </w:style>
  <w:style w:type="paragraph" w:customStyle="1" w:styleId="ListNote">
    <w:name w:val="List Note"/>
    <w:basedOn w:val="List"/>
    <w:rsid w:val="006A7249"/>
    <w:pPr>
      <w:pBdr>
        <w:top w:val="single" w:sz="6" w:space="2" w:color="918585"/>
        <w:bottom w:val="single" w:sz="6" w:space="2" w:color="918585"/>
      </w:pBdr>
      <w:tabs>
        <w:tab w:val="left" w:pos="1021"/>
      </w:tabs>
      <w:ind w:firstLine="0"/>
    </w:pPr>
  </w:style>
  <w:style w:type="paragraph" w:customStyle="1" w:styleId="Warning">
    <w:name w:val="Warning"/>
    <w:basedOn w:val="BodyText"/>
    <w:rsid w:val="006A7249"/>
    <w:pPr>
      <w:shd w:val="clear" w:color="auto" w:fill="D9D9D9"/>
      <w:tabs>
        <w:tab w:val="left" w:pos="992"/>
      </w:tabs>
      <w:ind w:left="119" w:right="119"/>
    </w:pPr>
    <w:rPr>
      <w:sz w:val="20"/>
    </w:rPr>
  </w:style>
  <w:style w:type="paragraph" w:customStyle="1" w:styleId="MarginIcons">
    <w:name w:val="Margin Icons"/>
    <w:basedOn w:val="BodyText"/>
    <w:rsid w:val="006A7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249"/>
    <w:rPr>
      <w:rFonts w:ascii="Courier New" w:hAnsi="Courier New"/>
    </w:rPr>
  </w:style>
  <w:style w:type="paragraph" w:customStyle="1" w:styleId="NoteBullet">
    <w:name w:val="Note Bullet"/>
    <w:basedOn w:val="Note"/>
    <w:rsid w:val="006A7249"/>
    <w:pPr>
      <w:tabs>
        <w:tab w:val="clear" w:pos="680"/>
      </w:tabs>
      <w:spacing w:before="60" w:after="60"/>
    </w:pPr>
  </w:style>
  <w:style w:type="paragraph" w:customStyle="1" w:styleId="SubHeading2">
    <w:name w:val="SubHeading2"/>
    <w:basedOn w:val="HeadingBase"/>
    <w:rsid w:val="006A7249"/>
    <w:pPr>
      <w:spacing w:before="240" w:after="60"/>
    </w:pPr>
    <w:rPr>
      <w:sz w:val="20"/>
    </w:rPr>
  </w:style>
  <w:style w:type="paragraph" w:customStyle="1" w:styleId="SubHeading1">
    <w:name w:val="SubHeading1"/>
    <w:basedOn w:val="HeadingBase"/>
    <w:rsid w:val="006A7249"/>
    <w:pPr>
      <w:spacing w:before="240" w:after="60"/>
    </w:pPr>
    <w:rPr>
      <w:color w:val="918585"/>
      <w:sz w:val="22"/>
    </w:rPr>
  </w:style>
  <w:style w:type="paragraph" w:customStyle="1" w:styleId="SideHeading">
    <w:name w:val="Side Heading"/>
    <w:basedOn w:val="HeadingBase"/>
    <w:rsid w:val="006A7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249"/>
    <w:pPr>
      <w:numPr>
        <w:numId w:val="10"/>
      </w:numPr>
    </w:pPr>
  </w:style>
  <w:style w:type="paragraph" w:styleId="PlainText">
    <w:name w:val="Plain Text"/>
    <w:basedOn w:val="Normal"/>
    <w:link w:val="PlainTextChar"/>
    <w:rsid w:val="006A7249"/>
    <w:rPr>
      <w:sz w:val="20"/>
    </w:rPr>
  </w:style>
  <w:style w:type="character" w:customStyle="1" w:styleId="PlainTextChar">
    <w:name w:val="Plain Text Char"/>
    <w:basedOn w:val="DefaultParagraphFont"/>
    <w:link w:val="PlainText"/>
    <w:rsid w:val="006A7249"/>
    <w:rPr>
      <w:rFonts w:ascii="Courier New" w:eastAsia="Times New Roman" w:hAnsi="Courier New" w:cs="Times New Roman"/>
      <w:sz w:val="20"/>
      <w:szCs w:val="20"/>
      <w:lang w:eastAsia="en-US"/>
    </w:rPr>
  </w:style>
  <w:style w:type="character" w:customStyle="1" w:styleId="MenuOption">
    <w:name w:val="Menu Option"/>
    <w:basedOn w:val="DefaultParagraphFont"/>
    <w:rsid w:val="006A7249"/>
    <w:rPr>
      <w:b/>
      <w:smallCaps/>
    </w:rPr>
  </w:style>
  <w:style w:type="paragraph" w:customStyle="1" w:styleId="TableListNumber">
    <w:name w:val="Table List Number"/>
    <w:basedOn w:val="ListNumber"/>
    <w:rsid w:val="006A7249"/>
    <w:pPr>
      <w:numPr>
        <w:numId w:val="0"/>
      </w:numPr>
    </w:pPr>
  </w:style>
  <w:style w:type="paragraph" w:styleId="TOC4">
    <w:name w:val="toc 4"/>
    <w:basedOn w:val="TOCBase"/>
    <w:next w:val="Normal"/>
    <w:semiHidden/>
    <w:rsid w:val="006A7249"/>
    <w:pPr>
      <w:tabs>
        <w:tab w:val="right" w:leader="dot" w:pos="9071"/>
      </w:tabs>
      <w:ind w:left="1701"/>
    </w:pPr>
  </w:style>
  <w:style w:type="paragraph" w:customStyle="1" w:styleId="ListAlpha">
    <w:name w:val="List Alpha"/>
    <w:basedOn w:val="List"/>
    <w:rsid w:val="006A7249"/>
    <w:pPr>
      <w:numPr>
        <w:numId w:val="8"/>
      </w:numPr>
    </w:pPr>
  </w:style>
  <w:style w:type="paragraph" w:customStyle="1" w:styleId="ListAlpha2">
    <w:name w:val="List Alpha 2"/>
    <w:basedOn w:val="List2"/>
    <w:rsid w:val="006A7249"/>
    <w:pPr>
      <w:numPr>
        <w:numId w:val="7"/>
      </w:numPr>
    </w:pPr>
  </w:style>
  <w:style w:type="paragraph" w:styleId="List3">
    <w:name w:val="List 3"/>
    <w:basedOn w:val="BodyText"/>
    <w:rsid w:val="006A7249"/>
    <w:pPr>
      <w:tabs>
        <w:tab w:val="left" w:pos="1021"/>
      </w:tabs>
      <w:spacing w:before="60" w:after="60"/>
      <w:ind w:left="1020" w:hanging="340"/>
    </w:pPr>
  </w:style>
  <w:style w:type="paragraph" w:styleId="List4">
    <w:name w:val="List 4"/>
    <w:basedOn w:val="BodyText"/>
    <w:rsid w:val="006A7249"/>
    <w:pPr>
      <w:tabs>
        <w:tab w:val="left" w:pos="1361"/>
      </w:tabs>
      <w:spacing w:before="60" w:after="60"/>
      <w:ind w:left="1361" w:hanging="340"/>
    </w:pPr>
  </w:style>
  <w:style w:type="paragraph" w:styleId="List5">
    <w:name w:val="List 5"/>
    <w:basedOn w:val="BodyText"/>
    <w:rsid w:val="006A7249"/>
    <w:pPr>
      <w:tabs>
        <w:tab w:val="left" w:pos="1701"/>
      </w:tabs>
      <w:spacing w:before="60" w:after="60"/>
      <w:ind w:left="1701" w:hanging="340"/>
    </w:pPr>
  </w:style>
  <w:style w:type="paragraph" w:styleId="ListBullet3">
    <w:name w:val="List Bullet 3"/>
    <w:basedOn w:val="List3"/>
    <w:rsid w:val="006A7249"/>
    <w:pPr>
      <w:numPr>
        <w:numId w:val="13"/>
      </w:numPr>
      <w:tabs>
        <w:tab w:val="clear" w:pos="1021"/>
      </w:tabs>
      <w:ind w:left="1037" w:hanging="357"/>
    </w:pPr>
  </w:style>
  <w:style w:type="paragraph" w:styleId="ListBullet4">
    <w:name w:val="List Bullet 4"/>
    <w:basedOn w:val="List4"/>
    <w:rsid w:val="006A7249"/>
    <w:pPr>
      <w:numPr>
        <w:numId w:val="2"/>
      </w:numPr>
      <w:tabs>
        <w:tab w:val="clear" w:pos="1361"/>
      </w:tabs>
    </w:pPr>
  </w:style>
  <w:style w:type="paragraph" w:styleId="ListBullet5">
    <w:name w:val="List Bullet 5"/>
    <w:basedOn w:val="List5"/>
    <w:rsid w:val="006A7249"/>
    <w:pPr>
      <w:numPr>
        <w:numId w:val="3"/>
      </w:numPr>
    </w:pPr>
  </w:style>
  <w:style w:type="paragraph" w:styleId="ListContinue2">
    <w:name w:val="List Continue 2"/>
    <w:basedOn w:val="List2"/>
    <w:rsid w:val="006A7249"/>
    <w:pPr>
      <w:ind w:firstLine="0"/>
    </w:pPr>
  </w:style>
  <w:style w:type="paragraph" w:styleId="ListContinue3">
    <w:name w:val="List Continue 3"/>
    <w:basedOn w:val="List3"/>
    <w:rsid w:val="006A7249"/>
    <w:pPr>
      <w:ind w:left="1021" w:firstLine="0"/>
    </w:pPr>
  </w:style>
  <w:style w:type="paragraph" w:styleId="ListContinue4">
    <w:name w:val="List Continue 4"/>
    <w:basedOn w:val="List4"/>
    <w:rsid w:val="006A7249"/>
    <w:pPr>
      <w:ind w:firstLine="0"/>
    </w:pPr>
  </w:style>
  <w:style w:type="paragraph" w:styleId="ListContinue5">
    <w:name w:val="List Continue 5"/>
    <w:basedOn w:val="List5"/>
    <w:rsid w:val="006A7249"/>
    <w:pPr>
      <w:ind w:firstLine="0"/>
    </w:pPr>
  </w:style>
  <w:style w:type="paragraph" w:styleId="ListNumber3">
    <w:name w:val="List Number 3"/>
    <w:basedOn w:val="List3"/>
    <w:rsid w:val="006A7249"/>
    <w:pPr>
      <w:numPr>
        <w:numId w:val="4"/>
      </w:numPr>
    </w:pPr>
  </w:style>
  <w:style w:type="paragraph" w:styleId="ListNumber4">
    <w:name w:val="List Number 4"/>
    <w:basedOn w:val="List4"/>
    <w:rsid w:val="006A7249"/>
    <w:pPr>
      <w:numPr>
        <w:numId w:val="5"/>
      </w:numPr>
    </w:pPr>
  </w:style>
  <w:style w:type="paragraph" w:styleId="ListNumber5">
    <w:name w:val="List Number 5"/>
    <w:basedOn w:val="List5"/>
    <w:rsid w:val="006A7249"/>
    <w:pPr>
      <w:numPr>
        <w:numId w:val="6"/>
      </w:numPr>
    </w:pPr>
  </w:style>
  <w:style w:type="paragraph" w:styleId="BlockText">
    <w:name w:val="Block Text"/>
    <w:basedOn w:val="Normal"/>
    <w:rsid w:val="006A7249"/>
    <w:pPr>
      <w:spacing w:after="120"/>
      <w:ind w:left="1440" w:right="1440"/>
    </w:pPr>
  </w:style>
  <w:style w:type="character" w:customStyle="1" w:styleId="Subscript">
    <w:name w:val="Subscript"/>
    <w:basedOn w:val="DefaultParagraphFont"/>
    <w:rsid w:val="006A7249"/>
    <w:rPr>
      <w:sz w:val="16"/>
      <w:vertAlign w:val="subscript"/>
    </w:rPr>
  </w:style>
  <w:style w:type="character" w:customStyle="1" w:styleId="Superscript">
    <w:name w:val="Superscript"/>
    <w:basedOn w:val="DefaultParagraphFont"/>
    <w:rsid w:val="006A7249"/>
    <w:rPr>
      <w:sz w:val="16"/>
      <w:vertAlign w:val="superscript"/>
    </w:rPr>
  </w:style>
  <w:style w:type="character" w:customStyle="1" w:styleId="Symbols">
    <w:name w:val="Symbols"/>
    <w:basedOn w:val="DefaultParagraphFont"/>
    <w:rsid w:val="006A7249"/>
    <w:rPr>
      <w:rFonts w:ascii="Symbol" w:hAnsi="Symbol"/>
    </w:rPr>
  </w:style>
  <w:style w:type="character" w:customStyle="1" w:styleId="MenuOptions">
    <w:name w:val="Menu Options"/>
    <w:basedOn w:val="DefaultParagraphFont"/>
    <w:rsid w:val="006A7249"/>
    <w:rPr>
      <w:rFonts w:ascii="Arial Narrow" w:hAnsi="Arial Narrow"/>
      <w:smallCaps/>
    </w:rPr>
  </w:style>
  <w:style w:type="character" w:customStyle="1" w:styleId="Buttons">
    <w:name w:val="Buttons"/>
    <w:basedOn w:val="DefaultParagraphFont"/>
    <w:rsid w:val="006A7249"/>
    <w:rPr>
      <w:b/>
    </w:rPr>
  </w:style>
  <w:style w:type="character" w:customStyle="1" w:styleId="Underlined">
    <w:name w:val="Underlined"/>
    <w:basedOn w:val="DefaultParagraphFont"/>
    <w:rsid w:val="006A7249"/>
    <w:rPr>
      <w:u w:val="single"/>
    </w:rPr>
  </w:style>
  <w:style w:type="paragraph" w:customStyle="1" w:styleId="TableBodyTextRight">
    <w:name w:val="Table Body Text Right"/>
    <w:basedOn w:val="TableBodyText"/>
    <w:rsid w:val="006A7249"/>
    <w:pPr>
      <w:widowControl w:val="0"/>
      <w:autoSpaceDE w:val="0"/>
      <w:autoSpaceDN w:val="0"/>
      <w:adjustRightInd w:val="0"/>
      <w:jc w:val="right"/>
    </w:pPr>
    <w:rPr>
      <w:rFonts w:cs="Arial"/>
      <w:szCs w:val="18"/>
    </w:rPr>
  </w:style>
  <w:style w:type="paragraph" w:customStyle="1" w:styleId="CopyrightText">
    <w:name w:val="Copyright Text"/>
    <w:basedOn w:val="BodyText"/>
    <w:rsid w:val="006A7249"/>
    <w:rPr>
      <w:sz w:val="18"/>
    </w:rPr>
  </w:style>
  <w:style w:type="paragraph" w:customStyle="1" w:styleId="BodySmallRight">
    <w:name w:val="Body Small Right"/>
    <w:basedOn w:val="BodyTextRight"/>
    <w:rsid w:val="006A7249"/>
    <w:rPr>
      <w:sz w:val="18"/>
      <w:szCs w:val="18"/>
    </w:rPr>
  </w:style>
  <w:style w:type="paragraph" w:customStyle="1" w:styleId="MarginEdition">
    <w:name w:val="Margin Edition"/>
    <w:basedOn w:val="MarginNote"/>
    <w:rsid w:val="006A7249"/>
    <w:pPr>
      <w:spacing w:before="0" w:after="0"/>
    </w:pPr>
    <w:rPr>
      <w:rFonts w:ascii="Times New Roman" w:hAnsi="Times New Roman"/>
      <w:color w:val="999999"/>
    </w:rPr>
  </w:style>
  <w:style w:type="paragraph" w:customStyle="1" w:styleId="Spacer">
    <w:name w:val="Spacer"/>
    <w:basedOn w:val="Normal"/>
    <w:rsid w:val="006A7249"/>
    <w:rPr>
      <w:sz w:val="2"/>
      <w:szCs w:val="2"/>
    </w:rPr>
  </w:style>
  <w:style w:type="character" w:customStyle="1" w:styleId="Small">
    <w:name w:val="Small"/>
    <w:basedOn w:val="DefaultParagraphFont"/>
    <w:rsid w:val="006A7249"/>
    <w:rPr>
      <w:sz w:val="16"/>
    </w:rPr>
  </w:style>
  <w:style w:type="paragraph" w:customStyle="1" w:styleId="WideTable">
    <w:name w:val="Wide Table"/>
    <w:basedOn w:val="Normal"/>
    <w:rsid w:val="006A7249"/>
    <w:pPr>
      <w:ind w:left="-1418"/>
    </w:pPr>
    <w:rPr>
      <w:sz w:val="2"/>
      <w:szCs w:val="2"/>
    </w:rPr>
  </w:style>
  <w:style w:type="character" w:styleId="PageNumber">
    <w:name w:val="page number"/>
    <w:basedOn w:val="DefaultParagraphFont"/>
    <w:rsid w:val="006A7249"/>
  </w:style>
  <w:style w:type="paragraph" w:styleId="Quote">
    <w:name w:val="Quote"/>
    <w:basedOn w:val="Heading1"/>
    <w:link w:val="QuoteChar"/>
    <w:qFormat/>
    <w:rsid w:val="006A7249"/>
    <w:rPr>
      <w:b w:val="0"/>
      <w:sz w:val="72"/>
      <w:szCs w:val="72"/>
      <w:lang w:val="en-NZ"/>
    </w:rPr>
  </w:style>
  <w:style w:type="character" w:customStyle="1" w:styleId="QuoteChar">
    <w:name w:val="Quote Char"/>
    <w:basedOn w:val="DefaultParagraphFont"/>
    <w:link w:val="Quote"/>
    <w:rsid w:val="006A7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249"/>
    <w:pPr>
      <w:pageBreakBefore/>
    </w:pPr>
  </w:style>
  <w:style w:type="paragraph" w:customStyle="1" w:styleId="Border">
    <w:name w:val="Border"/>
    <w:basedOn w:val="Normal"/>
    <w:qFormat/>
    <w:rsid w:val="006A7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249"/>
    <w:rPr>
      <w:b/>
      <w:bCs/>
      <w:i/>
      <w:iCs/>
      <w:color w:val="auto"/>
    </w:rPr>
  </w:style>
  <w:style w:type="paragraph" w:styleId="IntenseQuote">
    <w:name w:val="Intense Quote"/>
    <w:basedOn w:val="Normal"/>
    <w:next w:val="Normal"/>
    <w:link w:val="IntenseQuoteChar"/>
    <w:uiPriority w:val="30"/>
    <w:qFormat/>
    <w:rsid w:val="006A7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249"/>
    <w:rPr>
      <w:smallCaps/>
      <w:color w:val="auto"/>
      <w:u w:val="single"/>
    </w:rPr>
  </w:style>
  <w:style w:type="character" w:styleId="IntenseReference">
    <w:name w:val="Intense Reference"/>
    <w:basedOn w:val="DefaultParagraphFont"/>
    <w:uiPriority w:val="32"/>
    <w:qFormat/>
    <w:rsid w:val="006A7249"/>
    <w:rPr>
      <w:b/>
      <w:bCs/>
      <w:smallCaps/>
      <w:color w:val="auto"/>
      <w:spacing w:val="5"/>
      <w:u w:val="single"/>
    </w:rPr>
  </w:style>
  <w:style w:type="paragraph" w:customStyle="1" w:styleId="2ColumnHeading">
    <w:name w:val="2Column Heading"/>
    <w:basedOn w:val="BodyText"/>
    <w:qFormat/>
    <w:rsid w:val="006A7249"/>
    <w:pPr>
      <w:spacing w:after="60"/>
      <w:ind w:left="-2268"/>
    </w:pPr>
    <w:rPr>
      <w:b/>
    </w:rPr>
  </w:style>
  <w:style w:type="paragraph" w:customStyle="1" w:styleId="Heading1TOC">
    <w:name w:val="Heading1 TOC"/>
    <w:basedOn w:val="Normal"/>
    <w:qFormat/>
    <w:rsid w:val="006A7249"/>
    <w:pPr>
      <w:spacing w:before="240" w:after="120"/>
    </w:pPr>
    <w:rPr>
      <w:rFonts w:ascii="Times New Roman" w:hAnsi="Times New Roman"/>
      <w:b/>
      <w:sz w:val="32"/>
    </w:rPr>
  </w:style>
  <w:style w:type="paragraph" w:customStyle="1" w:styleId="Heading2TOC">
    <w:name w:val="Heading2 TOC"/>
    <w:basedOn w:val="Normal"/>
    <w:qFormat/>
    <w:rsid w:val="006A7249"/>
    <w:pPr>
      <w:spacing w:before="240" w:after="60"/>
    </w:pPr>
    <w:rPr>
      <w:rFonts w:ascii="Times New Roman" w:hAnsi="Times New Roman"/>
      <w:b/>
      <w:sz w:val="28"/>
    </w:rPr>
  </w:style>
  <w:style w:type="character" w:customStyle="1" w:styleId="Underline">
    <w:name w:val="Underline"/>
    <w:basedOn w:val="DefaultParagraphFont"/>
    <w:qFormat/>
    <w:rsid w:val="006A7249"/>
    <w:rPr>
      <w:u w:val="single"/>
    </w:rPr>
  </w:style>
  <w:style w:type="character" w:customStyle="1" w:styleId="BoldandItalics">
    <w:name w:val="Bold and Italics"/>
    <w:qFormat/>
    <w:rsid w:val="006A7249"/>
    <w:rPr>
      <w:b/>
      <w:i/>
      <w:u w:val="none"/>
    </w:rPr>
  </w:style>
  <w:style w:type="paragraph" w:styleId="BalloonText">
    <w:name w:val="Balloon Text"/>
    <w:basedOn w:val="Normal"/>
    <w:link w:val="BalloonTextChar"/>
    <w:rsid w:val="006A7249"/>
    <w:rPr>
      <w:rFonts w:ascii="Tahoma" w:hAnsi="Tahoma" w:cs="Tahoma"/>
      <w:sz w:val="16"/>
      <w:szCs w:val="16"/>
    </w:rPr>
  </w:style>
  <w:style w:type="character" w:customStyle="1" w:styleId="BalloonTextChar">
    <w:name w:val="Balloon Text Char"/>
    <w:basedOn w:val="DefaultParagraphFont"/>
    <w:link w:val="BalloonText"/>
    <w:rsid w:val="006A7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2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249"/>
    <w:rPr>
      <w:b/>
      <w:color w:val="660033"/>
      <w:spacing w:val="0"/>
    </w:rPr>
  </w:style>
  <w:style w:type="paragraph" w:customStyle="1" w:styleId="Nameditemlist">
    <w:name w:val="Named item list"/>
    <w:basedOn w:val="BodyText"/>
    <w:qFormat/>
    <w:rsid w:val="006A7249"/>
    <w:pPr>
      <w:tabs>
        <w:tab w:val="left" w:pos="2835"/>
      </w:tabs>
      <w:ind w:left="2835" w:hanging="2835"/>
    </w:pPr>
  </w:style>
  <w:style w:type="paragraph" w:customStyle="1" w:styleId="BodyTextnopadding">
    <w:name w:val="Body Text no padding"/>
    <w:basedOn w:val="BodyText"/>
    <w:qFormat/>
    <w:rsid w:val="006A7249"/>
    <w:pPr>
      <w:spacing w:before="0" w:after="0"/>
    </w:pPr>
  </w:style>
  <w:style w:type="paragraph" w:customStyle="1" w:styleId="BodyTextBold">
    <w:name w:val="Body Text Bold"/>
    <w:basedOn w:val="BodyText"/>
    <w:qFormat/>
    <w:rsid w:val="006A7249"/>
    <w:rPr>
      <w:b/>
    </w:rPr>
  </w:style>
  <w:style w:type="character" w:styleId="Hyperlink">
    <w:name w:val="Hyperlink"/>
    <w:basedOn w:val="DefaultParagraphFont"/>
    <w:uiPriority w:val="99"/>
    <w:unhideWhenUsed/>
    <w:rsid w:val="001E7A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1946</Words>
  <Characters>12260</Characters>
  <Application>Microsoft Office Word</Application>
  <DocSecurity>0</DocSecurity>
  <Lines>331</Lines>
  <Paragraphs>218</Paragraphs>
  <ScaleCrop>false</ScaleCrop>
  <Company>Author-it Software Corporation Ltd.</Company>
  <LinksUpToDate>false</LinksUpToDate>
  <CharactersWithSpaces>13988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HLTAHW028 Provide information and strategies in chronic condition care</dc:title>
  <dc:subject>Approved</dc:subject>
  <dc:creator>HumanAbility</dc:creator>
  <cp:keywords>Release: 2</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