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113" w:rsidP="00763113">
      <w:pPr>
        <w:pStyle w:val="Title"/>
      </w:pPr>
      <w:r>
        <w:fldChar w:fldCharType="begin"/>
      </w:r>
      <w:r>
        <w:instrText xml:space="preserve"> TITLE   \* MERGEFORMAT </w:instrText>
      </w:r>
      <w:r>
        <w:fldChar w:fldCharType="separate"/>
      </w:r>
      <w:r>
        <w:t>Assessment Requirements for HLTAHW028 Provide information and strategies in chronic condition care</w:t>
      </w:r>
      <w:r>
        <w:fldChar w:fldCharType="end"/>
      </w:r>
    </w:p>
    <w:p w:rsidR="00763113" w:rsidP="00763113">
      <w:pPr>
        <w:pStyle w:val="Version"/>
        <w:sectPr w:rsidSect="00BE2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20D1" w:rsidP="00BE20D1">
      <w:pPr>
        <w:pStyle w:val="SuperHeading"/>
      </w:pPr>
      <w:r w:rsidRPr="00BE20D1">
        <w:t>Assessment Requirements for HLTAHW028 Provide information and strategies in chronic condition care</w:t>
      </w:r>
    </w:p>
    <w:p w:rsidR="00000000" w:rsidRPr="00BE20D1" w:rsidP="00BE20D1">
      <w:pPr>
        <w:pStyle w:val="Heading1"/>
      </w:pPr>
      <w:bookmarkStart w:id="1" w:name="O_745034"/>
      <w:bookmarkEnd w:id="1"/>
      <w:r w:rsidRPr="00BE20D1">
        <w:t>Modification History</w:t>
      </w:r>
    </w:p>
    <w:tbl>
      <w:tblPr>
        <w:tblW w:w="0" w:type="auto"/>
        <w:tblLayout w:type="fixed"/>
        <w:tblCellMar>
          <w:left w:w="62" w:type="dxa"/>
          <w:right w:w="62" w:type="dxa"/>
        </w:tblCellMar>
        <w:tblLook w:val="0000"/>
      </w:tblPr>
      <w:tblGrid>
        <w:gridCol w:w="3060"/>
        <w:gridCol w:w="6074"/>
      </w:tblGrid>
      <w:tr w:rsidTr="00BE20D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E20D1" w:rsidP="00BE20D1">
            <w:pPr>
              <w:pStyle w:val="BodyText"/>
            </w:pPr>
            <w:r w:rsidRPr="00BE20D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E20D1">
            <w:pPr>
              <w:pStyle w:val="BodyText"/>
              <w:rPr>
                <w:lang w:val="en-NZ"/>
              </w:rPr>
            </w:pPr>
            <w:r w:rsidRPr="00BE20D1">
              <w:rPr>
                <w:rStyle w:val="SpecialBold"/>
              </w:rPr>
              <w:t>Comments</w:t>
            </w:r>
          </w:p>
        </w:tc>
      </w:tr>
      <w:tr w:rsidTr="00BE20D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20D1">
            <w:pPr>
              <w:pStyle w:val="BodyText"/>
              <w:rPr>
                <w:lang w:val="en-NZ"/>
              </w:rPr>
            </w:pPr>
            <w:r w:rsidRPr="00BE20D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E20D1" w:rsidP="00BE20D1">
            <w:pPr>
              <w:pStyle w:val="BodyText"/>
            </w:pPr>
            <w:r w:rsidRPr="00BE20D1">
              <w:t>Updated:</w:t>
            </w:r>
          </w:p>
          <w:p w:rsidR="00000000" w:rsidRPr="00BE20D1" w:rsidP="00BE20D1">
            <w:pPr>
              <w:pStyle w:val="ListBullet"/>
            </w:pPr>
            <w:r w:rsidRPr="00BE20D1">
              <w:t>assessor requirements statement</w:t>
            </w:r>
          </w:p>
          <w:p w:rsidR="00000000" w:rsidRPr="00BE20D1" w:rsidP="00BE20D1">
            <w:pPr>
              <w:pStyle w:val="ListBullet"/>
            </w:pPr>
            <w:r w:rsidRPr="00BE20D1">
              <w:t>foundation skills lead in statement</w:t>
            </w:r>
          </w:p>
          <w:p w:rsidR="00000000" w:rsidRPr="00BE20D1" w:rsidP="00BE20D1">
            <w:pPr>
              <w:pStyle w:val="ListBullet"/>
            </w:pPr>
            <w:r w:rsidRPr="00BE20D1">
              <w:t>licensing statement</w:t>
            </w:r>
          </w:p>
          <w:p w:rsidR="00000000" w:rsidRPr="00BE20D1" w:rsidP="00BE20D1">
            <w:pPr>
              <w:pStyle w:val="ListBullet"/>
            </w:pPr>
            <w:r w:rsidRPr="00BE20D1">
              <w:t>modification history to reflect 2012 standards</w:t>
            </w:r>
          </w:p>
          <w:p w:rsidR="00000000" w:rsidP="00BE20D1">
            <w:pPr>
              <w:pStyle w:val="BodyText"/>
              <w:rPr>
                <w:lang w:val="en-NZ"/>
              </w:rPr>
            </w:pPr>
            <w:r w:rsidRPr="00BE20D1">
              <w:t>Equivalent outcome.</w:t>
            </w:r>
          </w:p>
        </w:tc>
      </w:tr>
      <w:tr w:rsidTr="00BE20D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20D1">
            <w:pPr>
              <w:pStyle w:val="BodyText"/>
              <w:rPr>
                <w:lang w:val="en-NZ"/>
              </w:rPr>
            </w:pPr>
            <w:r w:rsidRPr="00BE20D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E20D1" w:rsidP="00BE20D1">
            <w:pPr>
              <w:pStyle w:val="BodyText"/>
            </w:pPr>
            <w:r w:rsidRPr="00BE20D1">
              <w:t xml:space="preserve">This version was released in </w:t>
            </w:r>
            <w:r w:rsidRPr="00BE20D1">
              <w:rPr>
                <w:rStyle w:val="Emphasis"/>
              </w:rPr>
              <w:t>HLT Health Training Package release 1.0</w:t>
            </w:r>
            <w:r w:rsidRPr="00BE20D1">
              <w:t xml:space="preserve"> and meets the requirements of the 2012 Standards for Training Packages.</w:t>
            </w:r>
          </w:p>
          <w:p w:rsidR="00000000" w:rsidRPr="00BE20D1" w:rsidP="00BE20D1">
            <w:pPr>
              <w:pStyle w:val="BodyText"/>
            </w:pPr>
            <w:r w:rsidRPr="00BE20D1">
              <w:t>Significant changes to elements and performance criteria.</w:t>
            </w:r>
            <w:r w:rsidRPr="00BE20D1">
              <w:br/>
              <w:t>New evidence requirements for assessment, including volume and environment requirements.</w:t>
            </w:r>
          </w:p>
        </w:tc>
      </w:tr>
    </w:tbl>
    <w:p w:rsidR="00000000" w:rsidRPr="00BE20D1" w:rsidP="00BE20D1">
      <w:pPr>
        <w:pStyle w:val="BodyText"/>
      </w:pPr>
    </w:p>
    <w:p w:rsidR="00000000" w:rsidRPr="00BE20D1" w:rsidP="00BE20D1">
      <w:pPr>
        <w:pStyle w:val="AllowPageBreak"/>
      </w:pPr>
    </w:p>
    <w:p w:rsidR="00000000" w:rsidRPr="00BE20D1" w:rsidP="00BE20D1">
      <w:pPr>
        <w:pStyle w:val="Heading1"/>
      </w:pPr>
      <w:bookmarkStart w:id="2" w:name="O_745033"/>
      <w:bookmarkEnd w:id="2"/>
      <w:r w:rsidRPr="00BE20D1">
        <w:t>Performance Evidence</w:t>
      </w:r>
    </w:p>
    <w:p w:rsidR="00000000" w:rsidRPr="00BE20D1" w:rsidP="00763113">
      <w:pPr>
        <w:pStyle w:val="BodyText"/>
      </w:pPr>
      <w:r w:rsidRPr="00BE20D1">
        <w:t>The candidate must show evidence of the ability to complete tasks out</w:t>
      </w:r>
      <w:r w:rsidRPr="00BE20D1">
        <w:t xml:space="preserve">lined in elements and performance criteria of this unit, manage tasks and manage contingencies in the context of the job role. </w:t>
      </w:r>
    </w:p>
    <w:p w:rsidR="00000000" w:rsidRPr="00BE20D1" w:rsidP="00763113">
      <w:pPr>
        <w:pStyle w:val="BodyText"/>
      </w:pPr>
      <w:r w:rsidRPr="00BE20D1">
        <w:t>There must be evidence that the candidate has:</w:t>
      </w:r>
    </w:p>
    <w:p w:rsidR="00000000" w:rsidRPr="00BE20D1" w:rsidP="00BE20D1">
      <w:pPr>
        <w:pStyle w:val="ListBullet"/>
      </w:pPr>
      <w:r w:rsidRPr="00BE20D1">
        <w:t>provided on at least three separate occasions access to accurate health inform</w:t>
      </w:r>
      <w:r w:rsidRPr="00BE20D1">
        <w:t xml:space="preserve">ation on chronic conditions relevant to community and individual needs </w:t>
      </w:r>
    </w:p>
    <w:p w:rsidR="00000000" w:rsidRPr="00BE20D1" w:rsidP="00BE20D1">
      <w:pPr>
        <w:pStyle w:val="ListBullet"/>
      </w:pPr>
      <w:r w:rsidRPr="00BE20D1">
        <w:t>supported and guided at least three clients with chronic conditions</w:t>
      </w:r>
    </w:p>
    <w:p w:rsidR="00000000" w:rsidRPr="00BE20D1" w:rsidP="00BE20D1">
      <w:pPr>
        <w:pStyle w:val="ListBullet"/>
      </w:pPr>
      <w:r w:rsidRPr="00BE20D1">
        <w:t>referred at least three clients with chronic conditions to relevant services</w:t>
      </w:r>
    </w:p>
    <w:p w:rsidR="00000000" w:rsidRPr="00BE20D1" w:rsidP="00BE20D1">
      <w:pPr>
        <w:pStyle w:val="ListBullet"/>
      </w:pPr>
      <w:r w:rsidRPr="00BE20D1">
        <w:t>organised and ensured follow-up care for at least three clients.</w:t>
      </w:r>
    </w:p>
    <w:p w:rsidR="00000000" w:rsidRPr="00BE20D1" w:rsidP="00BE20D1">
      <w:pPr>
        <w:pStyle w:val="AllowPageBreak"/>
      </w:pPr>
    </w:p>
    <w:p w:rsidR="00000000" w:rsidRPr="00BE20D1" w:rsidP="00BE20D1">
      <w:pPr>
        <w:pStyle w:val="Heading1"/>
      </w:pPr>
      <w:bookmarkStart w:id="3" w:name="O_745032"/>
      <w:bookmarkEnd w:id="3"/>
      <w:r w:rsidRPr="00BE20D1">
        <w:t>Knowledge Evidence</w:t>
      </w:r>
    </w:p>
    <w:p w:rsidR="00000000" w:rsidRPr="00BE20D1" w:rsidP="00763113">
      <w:pPr>
        <w:pStyle w:val="BodyText"/>
      </w:pPr>
      <w:r w:rsidRPr="00BE20D1">
        <w:t>The candidate must be able to demonstrate essential knowledge required to effectively do the task outlined in elements and performance criteria of this uni</w:t>
      </w:r>
      <w:r w:rsidRPr="00BE20D1">
        <w:t>t, manage the task and manage contingencies in the context of the identified work role</w:t>
      </w:r>
    </w:p>
    <w:p w:rsidR="00000000" w:rsidRPr="00BE20D1" w:rsidP="00763113">
      <w:pPr>
        <w:pStyle w:val="BodyText"/>
      </w:pPr>
      <w:r w:rsidRPr="00BE20D1">
        <w:t>This includes knowledge of:</w:t>
      </w:r>
    </w:p>
    <w:p w:rsidR="00000000" w:rsidRPr="00BE20D1" w:rsidP="00BE20D1">
      <w:pPr>
        <w:pStyle w:val="ListBullet"/>
      </w:pPr>
      <w:r w:rsidRPr="00BE20D1">
        <w:t>organisation policies and procedures and legislation or regulations relating to:</w:t>
      </w:r>
    </w:p>
    <w:p w:rsidR="00000000" w:rsidRPr="00BE20D1" w:rsidP="00BE20D1">
      <w:pPr>
        <w:pStyle w:val="List2"/>
      </w:pPr>
      <w:r>
        <w:t>•</w:t>
      </w:r>
      <w:r>
        <w:tab/>
      </w:r>
      <w:r w:rsidRPr="00BE20D1">
        <w:t>client confidentiality</w:t>
      </w:r>
    </w:p>
    <w:p w:rsidR="00000000" w:rsidRPr="00BE20D1" w:rsidP="00BE20D1">
      <w:pPr>
        <w:pStyle w:val="List2"/>
      </w:pPr>
      <w:r>
        <w:t>•</w:t>
      </w:r>
      <w:r>
        <w:tab/>
      </w:r>
      <w:r w:rsidRPr="00BE20D1">
        <w:t>referral, including various le</w:t>
      </w:r>
      <w:r w:rsidRPr="00BE20D1">
        <w:t>vels of urgency, and follow-up of clients</w:t>
      </w:r>
    </w:p>
    <w:p w:rsidR="00000000" w:rsidRPr="00BE20D1" w:rsidP="00BE20D1">
      <w:pPr>
        <w:pStyle w:val="List2"/>
      </w:pPr>
      <w:r>
        <w:t>•</w:t>
      </w:r>
      <w:r>
        <w:tab/>
      </w:r>
      <w:r w:rsidRPr="00BE20D1">
        <w:t>mandatory reporting</w:t>
      </w:r>
    </w:p>
    <w:p w:rsidR="00000000" w:rsidRPr="00BE20D1" w:rsidP="00BE20D1">
      <w:pPr>
        <w:pStyle w:val="List2"/>
      </w:pPr>
      <w:r>
        <w:t>•</w:t>
      </w:r>
      <w:r>
        <w:tab/>
      </w:r>
      <w:r w:rsidRPr="00BE20D1">
        <w:t>notifiable communicable diseases</w:t>
      </w:r>
    </w:p>
    <w:p w:rsidR="00000000" w:rsidRPr="00BE20D1" w:rsidP="00BE20D1">
      <w:pPr>
        <w:pStyle w:val="List2"/>
      </w:pPr>
      <w:r>
        <w:t>•</w:t>
      </w:r>
      <w:r>
        <w:tab/>
      </w:r>
      <w:r w:rsidRPr="00BE20D1">
        <w:t>limits of own ability and authority</w:t>
      </w:r>
    </w:p>
    <w:p w:rsidR="00000000" w:rsidRPr="00BE20D1" w:rsidP="00BE20D1">
      <w:pPr>
        <w:pStyle w:val="List2"/>
      </w:pPr>
      <w:r>
        <w:t>•</w:t>
      </w:r>
      <w:r>
        <w:tab/>
      </w:r>
      <w:r w:rsidRPr="00BE20D1">
        <w:t>reporting procedures</w:t>
      </w:r>
    </w:p>
    <w:p w:rsidR="00000000" w:rsidRPr="00BE20D1" w:rsidP="00BE20D1">
      <w:pPr>
        <w:pStyle w:val="List2"/>
      </w:pPr>
      <w:r>
        <w:t>•</w:t>
      </w:r>
      <w:r>
        <w:tab/>
      </w:r>
      <w:r w:rsidRPr="00BE20D1">
        <w:t>documentation</w:t>
      </w:r>
    </w:p>
    <w:p w:rsidR="00000000" w:rsidRPr="00BE20D1" w:rsidP="00BE20D1">
      <w:pPr>
        <w:pStyle w:val="ListBullet"/>
      </w:pPr>
      <w:r w:rsidRPr="00BE20D1">
        <w:t>prevalence and statistical incidence of diabetes, heart disease and chronic kid</w:t>
      </w:r>
      <w:r w:rsidRPr="00BE20D1">
        <w:t>ney disease in Aboriginal and/or Torres Strait Islander populations compared to non-Aboriginal and/or Torres Strait Islander populations</w:t>
      </w:r>
    </w:p>
    <w:p w:rsidR="00000000" w:rsidRPr="00BE20D1" w:rsidP="00BE20D1">
      <w:pPr>
        <w:pStyle w:val="ListBullet"/>
      </w:pPr>
      <w:r w:rsidRPr="00BE20D1">
        <w:t>importance of self-management and the promotion of health-seeking behaviours</w:t>
      </w:r>
    </w:p>
    <w:p w:rsidR="00000000" w:rsidRPr="00BE20D1" w:rsidP="00BE20D1">
      <w:pPr>
        <w:pStyle w:val="ListBullet"/>
      </w:pPr>
      <w:r w:rsidRPr="00BE20D1">
        <w:t>importance of developing care plans that i</w:t>
      </w:r>
      <w:r w:rsidRPr="00BE20D1">
        <w:t>nvolve the client and the multidisciplinary care team</w:t>
      </w:r>
    </w:p>
    <w:p w:rsidR="00000000" w:rsidRPr="00BE20D1" w:rsidP="00BE20D1">
      <w:pPr>
        <w:pStyle w:val="ListBullet"/>
      </w:pPr>
      <w:r w:rsidRPr="00BE20D1">
        <w:t>health promotion strategies for all chronic conditions (primary, secondary and tertiary prevention), including:</w:t>
      </w:r>
    </w:p>
    <w:p w:rsidR="00000000" w:rsidRPr="00BE20D1" w:rsidP="00BE20D1">
      <w:pPr>
        <w:pStyle w:val="List2"/>
      </w:pPr>
      <w:r>
        <w:t>•</w:t>
      </w:r>
      <w:r>
        <w:tab/>
      </w:r>
      <w:r w:rsidRPr="00BE20D1">
        <w:t>maternal and infant/child health</w:t>
      </w:r>
    </w:p>
    <w:p w:rsidR="00000000" w:rsidRPr="00BE20D1" w:rsidP="00BE20D1">
      <w:pPr>
        <w:pStyle w:val="List2"/>
      </w:pPr>
      <w:r>
        <w:t>•</w:t>
      </w:r>
      <w:r>
        <w:tab/>
      </w:r>
      <w:r w:rsidRPr="00BE20D1">
        <w:t>smoking cessation</w:t>
      </w:r>
    </w:p>
    <w:p w:rsidR="00000000" w:rsidRPr="00BE20D1" w:rsidP="00BE20D1">
      <w:pPr>
        <w:pStyle w:val="List2"/>
      </w:pPr>
      <w:r>
        <w:t>•</w:t>
      </w:r>
      <w:r>
        <w:tab/>
      </w:r>
      <w:r w:rsidRPr="00BE20D1">
        <w:t>national recommendations for healthy eating (including avoiding foods high in saturated fat and salt)</w:t>
      </w:r>
    </w:p>
    <w:p w:rsidR="00000000" w:rsidRPr="00BE20D1" w:rsidP="00BE20D1">
      <w:pPr>
        <w:pStyle w:val="List2"/>
      </w:pPr>
      <w:r>
        <w:t>•</w:t>
      </w:r>
      <w:r>
        <w:tab/>
      </w:r>
      <w:r w:rsidRPr="00BE20D1">
        <w:t>national recommendations for physical activity</w:t>
      </w:r>
    </w:p>
    <w:p w:rsidR="00000000" w:rsidRPr="00BE20D1" w:rsidP="00BE20D1">
      <w:pPr>
        <w:pStyle w:val="List2"/>
      </w:pPr>
      <w:r>
        <w:t>•</w:t>
      </w:r>
      <w:r>
        <w:tab/>
      </w:r>
      <w:r w:rsidRPr="00BE20D1">
        <w:t>vaccination (hepatitis B, pneumococcal, influenza &amp; HPV)</w:t>
      </w:r>
    </w:p>
    <w:p w:rsidR="00000000" w:rsidRPr="00BE20D1" w:rsidP="00BE20D1">
      <w:pPr>
        <w:pStyle w:val="List2"/>
      </w:pPr>
      <w:r>
        <w:t>•</w:t>
      </w:r>
      <w:r>
        <w:tab/>
      </w:r>
      <w:r w:rsidRPr="00BE20D1">
        <w:t>oral health</w:t>
      </w:r>
    </w:p>
    <w:p w:rsidR="00000000" w:rsidRPr="00BE20D1" w:rsidP="00BE20D1">
      <w:pPr>
        <w:pStyle w:val="List2"/>
      </w:pPr>
      <w:r>
        <w:t>•</w:t>
      </w:r>
      <w:r>
        <w:tab/>
      </w:r>
      <w:r w:rsidRPr="00BE20D1">
        <w:t>safe alcohol consumption</w:t>
      </w:r>
    </w:p>
    <w:p w:rsidR="00000000" w:rsidRPr="00BE20D1" w:rsidP="00BE20D1">
      <w:pPr>
        <w:pStyle w:val="List2"/>
      </w:pPr>
      <w:r>
        <w:t>•</w:t>
      </w:r>
      <w:r>
        <w:tab/>
      </w:r>
      <w:r w:rsidRPr="00BE20D1">
        <w:t>s</w:t>
      </w:r>
      <w:r w:rsidRPr="00BE20D1">
        <w:t>ocial and emotional wellbeing</w:t>
      </w:r>
    </w:p>
    <w:p w:rsidR="00000000" w:rsidRPr="00BE20D1" w:rsidP="00BE20D1">
      <w:pPr>
        <w:pStyle w:val="List2"/>
      </w:pPr>
      <w:r>
        <w:t>•</w:t>
      </w:r>
      <w:r>
        <w:tab/>
      </w:r>
      <w:r w:rsidRPr="00BE20D1">
        <w:t>annual child and adult health checks</w:t>
      </w:r>
    </w:p>
    <w:p w:rsidR="00000000" w:rsidRPr="00BE20D1" w:rsidP="00BE20D1">
      <w:pPr>
        <w:pStyle w:val="ListBullet"/>
      </w:pPr>
      <w:r w:rsidRPr="00BE20D1">
        <w:t>features of chronic illness, including:</w:t>
      </w:r>
    </w:p>
    <w:p w:rsidR="00000000" w:rsidRPr="00BE20D1" w:rsidP="00BE20D1">
      <w:pPr>
        <w:pStyle w:val="List2"/>
      </w:pPr>
      <w:r>
        <w:t>•</w:t>
      </w:r>
      <w:r>
        <w:tab/>
      </w:r>
      <w:r w:rsidRPr="00BE20D1">
        <w:t>complex causality</w:t>
      </w:r>
    </w:p>
    <w:p w:rsidR="00000000" w:rsidRPr="00BE20D1" w:rsidP="00BE20D1">
      <w:pPr>
        <w:pStyle w:val="List2"/>
      </w:pPr>
      <w:r>
        <w:t>•</w:t>
      </w:r>
      <w:r>
        <w:tab/>
      </w:r>
      <w:r w:rsidRPr="00BE20D1">
        <w:t>multiple risk factors</w:t>
      </w:r>
    </w:p>
    <w:p w:rsidR="00000000" w:rsidRPr="00BE20D1" w:rsidP="00BE20D1">
      <w:pPr>
        <w:pStyle w:val="List2"/>
      </w:pPr>
      <w:r>
        <w:t>•</w:t>
      </w:r>
      <w:r>
        <w:tab/>
      </w:r>
      <w:r w:rsidRPr="00BE20D1">
        <w:t>long latency periods</w:t>
      </w:r>
    </w:p>
    <w:p w:rsidR="00000000" w:rsidRPr="00BE20D1" w:rsidP="00BE20D1">
      <w:pPr>
        <w:pStyle w:val="List2"/>
      </w:pPr>
      <w:r>
        <w:t>•</w:t>
      </w:r>
      <w:r>
        <w:tab/>
      </w:r>
      <w:r w:rsidRPr="00BE20D1">
        <w:t>a prolonged course of illness</w:t>
      </w:r>
    </w:p>
    <w:p w:rsidR="00000000" w:rsidRPr="00BE20D1" w:rsidP="00BE20D1">
      <w:pPr>
        <w:pStyle w:val="List2"/>
      </w:pPr>
      <w:r>
        <w:t>•</w:t>
      </w:r>
      <w:r>
        <w:tab/>
      </w:r>
      <w:r w:rsidRPr="00BE20D1">
        <w:t>functional impairment or disability</w:t>
      </w:r>
    </w:p>
    <w:p w:rsidR="00000000" w:rsidRPr="00BE20D1" w:rsidP="00BE20D1">
      <w:pPr>
        <w:pStyle w:val="ListBullet"/>
      </w:pPr>
      <w:r w:rsidRPr="00BE20D1">
        <w:t>specific</w:t>
      </w:r>
      <w:r w:rsidRPr="00BE20D1">
        <w:t xml:space="preserve"> chronic conditions affecting Aboriginal and/or Torres Strait Islander clients and communities, including:</w:t>
      </w:r>
    </w:p>
    <w:p w:rsidR="00000000" w:rsidRPr="00BE20D1" w:rsidP="00BE20D1">
      <w:pPr>
        <w:pStyle w:val="List2"/>
      </w:pPr>
      <w:r>
        <w:t>•</w:t>
      </w:r>
      <w:r>
        <w:tab/>
      </w:r>
      <w:r w:rsidRPr="00BE20D1">
        <w:t>cardiovascular disease</w:t>
      </w:r>
    </w:p>
    <w:p w:rsidR="00000000" w:rsidRPr="00BE20D1" w:rsidP="00BE20D1">
      <w:pPr>
        <w:pStyle w:val="List2"/>
      </w:pPr>
      <w:r>
        <w:t>•</w:t>
      </w:r>
      <w:r>
        <w:tab/>
      </w:r>
      <w:r w:rsidRPr="00BE20D1">
        <w:t>diabetes</w:t>
      </w:r>
    </w:p>
    <w:p w:rsidR="00000000" w:rsidRPr="00BE20D1" w:rsidP="00BE20D1">
      <w:pPr>
        <w:pStyle w:val="List2"/>
      </w:pPr>
      <w:r>
        <w:t>•</w:t>
      </w:r>
      <w:r>
        <w:tab/>
      </w:r>
      <w:r w:rsidRPr="00BE20D1">
        <w:t>cancer</w:t>
      </w:r>
    </w:p>
    <w:p w:rsidR="00000000" w:rsidRPr="00BE20D1" w:rsidP="00BE20D1">
      <w:pPr>
        <w:pStyle w:val="List2"/>
      </w:pPr>
      <w:r>
        <w:t>•</w:t>
      </w:r>
      <w:r>
        <w:tab/>
      </w:r>
      <w:r w:rsidRPr="00BE20D1">
        <w:t xml:space="preserve">chronic respiratory disease </w:t>
      </w:r>
    </w:p>
    <w:p w:rsidR="00000000" w:rsidRPr="00BE20D1" w:rsidP="00BE20D1">
      <w:pPr>
        <w:pStyle w:val="List2"/>
      </w:pPr>
      <w:r>
        <w:t>•</w:t>
      </w:r>
      <w:r>
        <w:tab/>
      </w:r>
      <w:r w:rsidRPr="00BE20D1">
        <w:t>chronic kidney disease</w:t>
      </w:r>
    </w:p>
    <w:p w:rsidR="00000000" w:rsidRPr="00BE20D1" w:rsidP="00BE20D1">
      <w:pPr>
        <w:pStyle w:val="List2"/>
      </w:pPr>
      <w:r>
        <w:t>•</w:t>
      </w:r>
      <w:r>
        <w:tab/>
      </w:r>
      <w:r w:rsidRPr="00BE20D1">
        <w:t>asthma</w:t>
      </w:r>
    </w:p>
    <w:p w:rsidR="00000000" w:rsidRPr="00BE20D1" w:rsidP="00BE20D1">
      <w:pPr>
        <w:pStyle w:val="List2"/>
      </w:pPr>
      <w:r>
        <w:t>•</w:t>
      </w:r>
      <w:r>
        <w:tab/>
      </w:r>
      <w:r w:rsidRPr="00BE20D1">
        <w:t>arthritis</w:t>
      </w:r>
    </w:p>
    <w:p w:rsidR="00000000" w:rsidRPr="00BE20D1" w:rsidP="00BE20D1">
      <w:pPr>
        <w:pStyle w:val="List2"/>
      </w:pPr>
      <w:r>
        <w:t>•</w:t>
      </w:r>
      <w:r>
        <w:tab/>
      </w:r>
      <w:r w:rsidRPr="00BE20D1">
        <w:t xml:space="preserve">oral disease  </w:t>
      </w:r>
    </w:p>
    <w:p w:rsidR="00000000" w:rsidRPr="00BE20D1" w:rsidP="00BE20D1">
      <w:pPr>
        <w:pStyle w:val="ListBullet"/>
      </w:pPr>
      <w:r w:rsidRPr="00BE20D1">
        <w:t>specific impact of chronic conditions on major body organs and systems</w:t>
      </w:r>
    </w:p>
    <w:p w:rsidR="00000000" w:rsidRPr="00BE20D1" w:rsidP="00BE20D1">
      <w:pPr>
        <w:pStyle w:val="ListBullet"/>
      </w:pPr>
      <w:r w:rsidRPr="00BE20D1">
        <w:t>groups at high risk of chronic conditions</w:t>
      </w:r>
    </w:p>
    <w:p w:rsidR="00000000" w:rsidRPr="00BE20D1" w:rsidP="00BE20D1">
      <w:pPr>
        <w:pStyle w:val="ListBullet"/>
      </w:pPr>
      <w:r w:rsidRPr="00BE20D1">
        <w:t>determinants of chronic conditions, including:</w:t>
      </w:r>
    </w:p>
    <w:p w:rsidR="00000000" w:rsidRPr="00BE20D1" w:rsidP="00BE20D1">
      <w:pPr>
        <w:pStyle w:val="List2"/>
      </w:pPr>
      <w:r>
        <w:t>•</w:t>
      </w:r>
      <w:r>
        <w:tab/>
      </w:r>
      <w:r w:rsidRPr="00BE20D1">
        <w:t>smoking</w:t>
      </w:r>
    </w:p>
    <w:p w:rsidR="00000000" w:rsidRPr="00BE20D1" w:rsidP="00BE20D1">
      <w:pPr>
        <w:pStyle w:val="List2"/>
      </w:pPr>
      <w:r>
        <w:t>•</w:t>
      </w:r>
      <w:r>
        <w:tab/>
      </w:r>
      <w:r w:rsidRPr="00BE20D1">
        <w:t>physical activity</w:t>
      </w:r>
    </w:p>
    <w:p w:rsidR="00000000" w:rsidRPr="00BE20D1" w:rsidP="00BE20D1">
      <w:pPr>
        <w:pStyle w:val="List2"/>
      </w:pPr>
      <w:r>
        <w:t>•</w:t>
      </w:r>
      <w:r>
        <w:tab/>
      </w:r>
      <w:r w:rsidRPr="00BE20D1">
        <w:t>nutrition</w:t>
      </w:r>
    </w:p>
    <w:p w:rsidR="00000000" w:rsidRPr="00BE20D1" w:rsidP="00BE20D1">
      <w:pPr>
        <w:pStyle w:val="List2"/>
      </w:pPr>
      <w:r>
        <w:t>•</w:t>
      </w:r>
      <w:r>
        <w:tab/>
      </w:r>
      <w:r w:rsidRPr="00BE20D1">
        <w:t>alcohol intake</w:t>
      </w:r>
    </w:p>
    <w:p w:rsidR="00000000" w:rsidRPr="00BE20D1" w:rsidP="00BE20D1">
      <w:pPr>
        <w:pStyle w:val="List2"/>
      </w:pPr>
      <w:r>
        <w:t>•</w:t>
      </w:r>
      <w:r>
        <w:tab/>
      </w:r>
      <w:r w:rsidRPr="00BE20D1">
        <w:t>use of illicit drugs</w:t>
      </w:r>
    </w:p>
    <w:p w:rsidR="00000000" w:rsidRPr="00BE20D1" w:rsidP="00BE20D1">
      <w:pPr>
        <w:pStyle w:val="List2"/>
      </w:pPr>
      <w:r>
        <w:t>•</w:t>
      </w:r>
      <w:r>
        <w:tab/>
      </w:r>
      <w:r w:rsidRPr="00BE20D1">
        <w:t>obesity, wei</w:t>
      </w:r>
      <w:r w:rsidRPr="00BE20D1">
        <w:t>ght and waist circumference</w:t>
      </w:r>
    </w:p>
    <w:p w:rsidR="00000000" w:rsidRPr="00BE20D1" w:rsidP="00BE20D1">
      <w:pPr>
        <w:pStyle w:val="List2"/>
      </w:pPr>
      <w:r>
        <w:t>•</w:t>
      </w:r>
      <w:r>
        <w:tab/>
      </w:r>
      <w:r w:rsidRPr="00BE20D1">
        <w:t>unsafe sexual practices</w:t>
      </w:r>
    </w:p>
    <w:p w:rsidR="00000000" w:rsidRPr="00BE20D1" w:rsidP="00BE20D1">
      <w:pPr>
        <w:pStyle w:val="List2"/>
      </w:pPr>
      <w:r>
        <w:t>•</w:t>
      </w:r>
      <w:r>
        <w:tab/>
      </w:r>
      <w:r w:rsidRPr="00BE20D1">
        <w:t>genetic factors</w:t>
      </w:r>
    </w:p>
    <w:p w:rsidR="00000000" w:rsidRPr="00BE20D1" w:rsidP="00BE20D1">
      <w:pPr>
        <w:pStyle w:val="ListBullet"/>
      </w:pPr>
      <w:r w:rsidRPr="00BE20D1">
        <w:t>treatment and management of chronic conditions, including:</w:t>
      </w:r>
    </w:p>
    <w:p w:rsidR="00000000" w:rsidRPr="00BE20D1" w:rsidP="00BE20D1">
      <w:pPr>
        <w:pStyle w:val="List2"/>
      </w:pPr>
      <w:r>
        <w:t>•</w:t>
      </w:r>
      <w:r>
        <w:tab/>
      </w:r>
      <w:r w:rsidRPr="00BE20D1">
        <w:t>working strategically with clients, family and significant others to promote self-management as far as possible</w:t>
      </w:r>
    </w:p>
    <w:p w:rsidR="00000000" w:rsidRPr="00BE20D1" w:rsidP="00BE20D1">
      <w:pPr>
        <w:pStyle w:val="List2"/>
      </w:pPr>
      <w:r>
        <w:t>•</w:t>
      </w:r>
      <w:r>
        <w:tab/>
      </w:r>
      <w:r w:rsidRPr="00BE20D1">
        <w:t>medicati</w:t>
      </w:r>
      <w:r w:rsidRPr="00BE20D1">
        <w:t>on</w:t>
      </w:r>
    </w:p>
    <w:p w:rsidR="00000000" w:rsidRPr="00BE20D1" w:rsidP="00BE20D1">
      <w:pPr>
        <w:pStyle w:val="List2"/>
      </w:pPr>
      <w:r>
        <w:t>•</w:t>
      </w:r>
      <w:r>
        <w:tab/>
      </w:r>
      <w:r w:rsidRPr="00BE20D1">
        <w:t xml:space="preserve">surgery </w:t>
      </w:r>
    </w:p>
    <w:p w:rsidR="00000000" w:rsidRPr="00BE20D1" w:rsidP="00BE20D1">
      <w:pPr>
        <w:pStyle w:val="List2"/>
      </w:pPr>
      <w:r>
        <w:t>•</w:t>
      </w:r>
      <w:r>
        <w:tab/>
      </w:r>
      <w:r w:rsidRPr="00BE20D1">
        <w:t>regular exercise</w:t>
      </w:r>
    </w:p>
    <w:p w:rsidR="00000000" w:rsidRPr="00BE20D1" w:rsidP="00BE20D1">
      <w:pPr>
        <w:pStyle w:val="List2"/>
      </w:pPr>
      <w:r>
        <w:t>•</w:t>
      </w:r>
      <w:r>
        <w:tab/>
      </w:r>
      <w:r w:rsidRPr="00BE20D1">
        <w:t>good nutrition</w:t>
      </w:r>
    </w:p>
    <w:p w:rsidR="00000000" w:rsidRPr="00BE20D1" w:rsidP="00BE20D1">
      <w:pPr>
        <w:pStyle w:val="List2"/>
      </w:pPr>
      <w:r>
        <w:t>•</w:t>
      </w:r>
      <w:r>
        <w:tab/>
      </w:r>
      <w:r w:rsidRPr="00BE20D1">
        <w:t>cessation of smoking</w:t>
      </w:r>
    </w:p>
    <w:p w:rsidR="00000000" w:rsidRPr="00BE20D1" w:rsidP="00BE20D1">
      <w:pPr>
        <w:pStyle w:val="List2"/>
      </w:pPr>
      <w:r>
        <w:t>•</w:t>
      </w:r>
      <w:r>
        <w:tab/>
      </w:r>
      <w:r w:rsidRPr="00BE20D1">
        <w:t>cessation or moderation of alcohol use</w:t>
      </w:r>
    </w:p>
    <w:p w:rsidR="00000000" w:rsidRPr="00BE20D1" w:rsidP="00BE20D1">
      <w:pPr>
        <w:pStyle w:val="List2"/>
      </w:pPr>
      <w:r>
        <w:t>•</w:t>
      </w:r>
      <w:r>
        <w:tab/>
      </w:r>
      <w:r w:rsidRPr="00BE20D1">
        <w:t>cessation of illicit drug use</w:t>
      </w:r>
    </w:p>
    <w:p w:rsidR="00000000" w:rsidRPr="00BE20D1" w:rsidP="00BE20D1">
      <w:pPr>
        <w:pStyle w:val="List2"/>
      </w:pPr>
      <w:r>
        <w:t>•</w:t>
      </w:r>
      <w:r>
        <w:tab/>
      </w:r>
      <w:r w:rsidRPr="00BE20D1">
        <w:t>regular screenings for changes in disease presentation and detection of other diseases</w:t>
      </w:r>
    </w:p>
    <w:p w:rsidR="00000000" w:rsidRPr="00BE20D1" w:rsidP="00BE20D1">
      <w:pPr>
        <w:pStyle w:val="ListBullet"/>
      </w:pPr>
      <w:r w:rsidRPr="00BE20D1">
        <w:t>in relation to cardiovascular diseases:</w:t>
      </w:r>
    </w:p>
    <w:p w:rsidR="00000000" w:rsidRPr="00BE20D1" w:rsidP="00BE20D1">
      <w:pPr>
        <w:pStyle w:val="List2"/>
      </w:pPr>
      <w:r>
        <w:t>•</w:t>
      </w:r>
      <w:r>
        <w:tab/>
      </w:r>
      <w:r w:rsidRPr="00BE20D1">
        <w:t xml:space="preserve">the concept of ‘cardiovascular risk factors’, the significance of an individual having multiple risk factors </w:t>
      </w:r>
    </w:p>
    <w:p w:rsidR="00000000" w:rsidRPr="00BE20D1" w:rsidP="00BE20D1">
      <w:pPr>
        <w:pStyle w:val="List2"/>
      </w:pPr>
      <w:r>
        <w:t>•</w:t>
      </w:r>
      <w:r>
        <w:tab/>
      </w:r>
      <w:r w:rsidRPr="00BE20D1">
        <w:t>the development of atherosclerosis and the basic pathophysiology of coronary heart disease, cerebrovas</w:t>
      </w:r>
      <w:r w:rsidRPr="00BE20D1">
        <w:t>cular disease and peripheral vascular disease</w:t>
      </w:r>
    </w:p>
    <w:p w:rsidR="00000000" w:rsidRPr="00BE20D1" w:rsidP="00BE20D1">
      <w:pPr>
        <w:pStyle w:val="List2"/>
      </w:pPr>
      <w:r>
        <w:t>•</w:t>
      </w:r>
      <w:r>
        <w:tab/>
      </w:r>
      <w:r w:rsidRPr="00BE20D1">
        <w:t>basic medical and surgical management of coronary heart disease</w:t>
      </w:r>
    </w:p>
    <w:p w:rsidR="00000000" w:rsidRPr="00BE20D1" w:rsidP="00BE20D1">
      <w:pPr>
        <w:pStyle w:val="List2"/>
      </w:pPr>
      <w:r>
        <w:t>•</w:t>
      </w:r>
      <w:r>
        <w:tab/>
      </w:r>
      <w:r w:rsidRPr="00BE20D1">
        <w:t>basic knowledge of the causes, prevention and management of other cardiovascular diseases including rheumatic heart disease, heart failure and</w:t>
      </w:r>
      <w:r w:rsidRPr="00BE20D1">
        <w:t xml:space="preserve"> cardiomyopathies</w:t>
      </w:r>
    </w:p>
    <w:p w:rsidR="00000000" w:rsidRPr="00BE20D1" w:rsidP="00BE20D1">
      <w:pPr>
        <w:pStyle w:val="ListBullet"/>
      </w:pPr>
      <w:r w:rsidRPr="00BE20D1">
        <w:t>in relation to diabetes mellitus:</w:t>
      </w:r>
    </w:p>
    <w:p w:rsidR="00000000" w:rsidRPr="00BE20D1" w:rsidP="00BE20D1">
      <w:pPr>
        <w:pStyle w:val="List2"/>
      </w:pPr>
      <w:r>
        <w:t>•</w:t>
      </w:r>
      <w:r>
        <w:tab/>
      </w:r>
      <w:r w:rsidRPr="00BE20D1">
        <w:t>basic pathophysiology of type II contrasted with type I diabetes mellitus and gestational diabetes</w:t>
      </w:r>
    </w:p>
    <w:p w:rsidR="00000000" w:rsidRPr="00BE20D1" w:rsidP="00BE20D1">
      <w:pPr>
        <w:pStyle w:val="List2"/>
      </w:pPr>
      <w:r>
        <w:t>•</w:t>
      </w:r>
      <w:r>
        <w:tab/>
      </w:r>
      <w:r w:rsidRPr="00BE20D1">
        <w:t>complications of diabetes (macrovascular: coronary heart disease, cerebrovascular disease and periph</w:t>
      </w:r>
      <w:r w:rsidRPr="00BE20D1">
        <w:t>eral vascular disease; and microvascular: neuropathies, retinopathy and nephropathy)</w:t>
      </w:r>
    </w:p>
    <w:p w:rsidR="00000000" w:rsidRPr="00BE20D1" w:rsidP="00BE20D1">
      <w:pPr>
        <w:pStyle w:val="List2"/>
      </w:pPr>
      <w:r>
        <w:t>•</w:t>
      </w:r>
      <w:r>
        <w:tab/>
      </w:r>
      <w:r w:rsidRPr="00BE20D1">
        <w:t>main elements of the ‘diabetes annual cycle of care’</w:t>
      </w:r>
    </w:p>
    <w:p w:rsidR="00000000" w:rsidRPr="00BE20D1" w:rsidP="00BE20D1">
      <w:pPr>
        <w:pStyle w:val="List2"/>
      </w:pPr>
      <w:r>
        <w:t>•</w:t>
      </w:r>
      <w:r>
        <w:tab/>
      </w:r>
      <w:r w:rsidRPr="00BE20D1">
        <w:t>importance of follow-up for women with gestational diabetes and their children</w:t>
      </w:r>
    </w:p>
    <w:p w:rsidR="00000000" w:rsidRPr="00BE20D1" w:rsidP="00BE20D1">
      <w:pPr>
        <w:pStyle w:val="List2"/>
      </w:pPr>
      <w:r>
        <w:t>•</w:t>
      </w:r>
      <w:r>
        <w:tab/>
      </w:r>
      <w:r w:rsidRPr="00BE20D1">
        <w:t>role of other members of the mult</w:t>
      </w:r>
      <w:r w:rsidRPr="00BE20D1">
        <w:t>idisciplinary care team (e.g. GP, endocrinologist, diabetes educator, podiatrist, dietician, ophthalmologist/optometrist, psychologist)</w:t>
      </w:r>
    </w:p>
    <w:p w:rsidR="00000000" w:rsidRPr="00BE20D1" w:rsidP="00BE20D1">
      <w:pPr>
        <w:pStyle w:val="ListBullet"/>
      </w:pPr>
      <w:r w:rsidRPr="00BE20D1">
        <w:t>in relation to chronic kidney disease:</w:t>
      </w:r>
    </w:p>
    <w:p w:rsidR="00000000" w:rsidRPr="00BE20D1" w:rsidP="00BE20D1">
      <w:pPr>
        <w:pStyle w:val="List2"/>
      </w:pPr>
      <w:r>
        <w:t>•</w:t>
      </w:r>
      <w:r>
        <w:tab/>
      </w:r>
      <w:r w:rsidRPr="00BE20D1">
        <w:t>basic pathophysiology of chronic kidney disease (causes, body systems affected</w:t>
      </w:r>
      <w:r w:rsidRPr="00BE20D1">
        <w:t>, progression/staging )</w:t>
      </w:r>
    </w:p>
    <w:p w:rsidR="00000000" w:rsidRPr="00BE20D1" w:rsidP="00BE20D1">
      <w:pPr>
        <w:pStyle w:val="List2"/>
      </w:pPr>
      <w:r>
        <w:t>•</w:t>
      </w:r>
      <w:r>
        <w:tab/>
      </w:r>
      <w:r w:rsidRPr="00BE20D1">
        <w:t>importance of early detection of chronic kidney disease in effort to defer or prevent end-stage kidney disease</w:t>
      </w:r>
    </w:p>
    <w:p w:rsidR="00000000" w:rsidRPr="00BE20D1" w:rsidP="00BE20D1">
      <w:pPr>
        <w:pStyle w:val="List2"/>
      </w:pPr>
      <w:r>
        <w:t>•</w:t>
      </w:r>
      <w:r>
        <w:tab/>
      </w:r>
      <w:r w:rsidRPr="00BE20D1">
        <w:t>screening and monitoring of chronic kidney disease (including blood and urine tests)</w:t>
      </w:r>
    </w:p>
    <w:p w:rsidR="00000000" w:rsidRPr="00BE20D1" w:rsidP="00BE20D1">
      <w:pPr>
        <w:pStyle w:val="List2"/>
      </w:pPr>
      <w:r>
        <w:t>•</w:t>
      </w:r>
      <w:r>
        <w:tab/>
      </w:r>
      <w:r w:rsidRPr="00BE20D1">
        <w:t>strategies to delay progressio</w:t>
      </w:r>
      <w:r w:rsidRPr="00BE20D1">
        <w:t>n of chronic kidney disease (including control of blood sugar, blood pressure and smoking cessation)</w:t>
      </w:r>
    </w:p>
    <w:p w:rsidR="00000000" w:rsidRPr="00BE20D1" w:rsidP="00BE20D1">
      <w:pPr>
        <w:pStyle w:val="List2"/>
      </w:pPr>
      <w:r>
        <w:t>•</w:t>
      </w:r>
      <w:r>
        <w:tab/>
      </w:r>
      <w:r w:rsidRPr="00BE20D1">
        <w:t>complications (including hypertension, anaemia, bone demineralisation and high potassium levels) and major causes of death</w:t>
      </w:r>
    </w:p>
    <w:p w:rsidR="00000000" w:rsidRPr="00BE20D1" w:rsidP="00BE20D1">
      <w:pPr>
        <w:pStyle w:val="List2"/>
      </w:pPr>
      <w:r>
        <w:t>•</w:t>
      </w:r>
      <w:r>
        <w:tab/>
      </w:r>
      <w:r w:rsidRPr="00BE20D1">
        <w:t>options for management of en</w:t>
      </w:r>
      <w:r w:rsidRPr="00BE20D1">
        <w:t>d-stage kidney disease (palliative care, haemodialysis, continuous ambulatory peritoneal dialysis, transplant).</w:t>
      </w:r>
    </w:p>
    <w:p w:rsidR="00000000" w:rsidRPr="00BE20D1" w:rsidP="00BE20D1">
      <w:pPr>
        <w:pStyle w:val="List2"/>
      </w:pPr>
      <w:r>
        <w:t>•</w:t>
      </w:r>
      <w:r>
        <w:tab/>
      </w:r>
      <w:r w:rsidRPr="00BE20D1">
        <w:t>dilemmas and difficulties faced by Aboriginal and/or Torres Strait Islander people and their families who need to relocate to distant centres in order to access dialysis treatment</w:t>
      </w:r>
    </w:p>
    <w:p w:rsidR="00000000" w:rsidRPr="00BE20D1" w:rsidP="00BE20D1">
      <w:pPr>
        <w:pStyle w:val="ListBullet"/>
      </w:pPr>
      <w:r w:rsidRPr="00BE20D1">
        <w:t xml:space="preserve">supporting clients in self-care, including diet, physical activity, foot </w:t>
      </w:r>
      <w:r w:rsidRPr="00BE20D1">
        <w:t>care, self-monitoring of blood sugar, and use of diabetes medicines in relation to chronic renal disease, :</w:t>
      </w:r>
    </w:p>
    <w:p w:rsidR="00000000" w:rsidRPr="00BE20D1" w:rsidP="00BE20D1">
      <w:pPr>
        <w:pStyle w:val="List2"/>
      </w:pPr>
      <w:r>
        <w:t>•</w:t>
      </w:r>
      <w:r>
        <w:tab/>
      </w:r>
      <w:r w:rsidRPr="00BE20D1">
        <w:t>basic pathophysiology of chronic renal failure (causes, body systems affected, natural history)</w:t>
      </w:r>
    </w:p>
    <w:p w:rsidR="00000000" w:rsidRPr="00BE20D1" w:rsidP="00BE20D1">
      <w:pPr>
        <w:pStyle w:val="List2"/>
      </w:pPr>
      <w:r>
        <w:t>•</w:t>
      </w:r>
      <w:r>
        <w:tab/>
      </w:r>
      <w:r w:rsidRPr="00BE20D1">
        <w:t>factors which may worsen or accelerate renal fai</w:t>
      </w:r>
      <w:r w:rsidRPr="00BE20D1">
        <w:t>lure (including: high blood pressure, anti-inflammatory drugs, poor diabetes control, dehydration, high protein diet)</w:t>
      </w:r>
    </w:p>
    <w:p w:rsidR="00000000" w:rsidRPr="00BE20D1" w:rsidP="00BE20D1">
      <w:pPr>
        <w:pStyle w:val="List2"/>
      </w:pPr>
      <w:r>
        <w:t>•</w:t>
      </w:r>
      <w:r>
        <w:tab/>
      </w:r>
      <w:r w:rsidRPr="00BE20D1">
        <w:t>clinical features of advanced renal failure</w:t>
      </w:r>
    </w:p>
    <w:p w:rsidR="00000000" w:rsidRPr="00BE20D1" w:rsidP="00BE20D1">
      <w:pPr>
        <w:pStyle w:val="List2"/>
      </w:pPr>
      <w:r>
        <w:t>•</w:t>
      </w:r>
      <w:r>
        <w:tab/>
      </w:r>
      <w:r w:rsidRPr="00BE20D1">
        <w:t>the importance of early detection of renal disease in efforts to defer or prevent end-stag</w:t>
      </w:r>
      <w:r w:rsidRPr="00BE20D1">
        <w:t>e renal failure</w:t>
      </w:r>
    </w:p>
    <w:p w:rsidR="00000000" w:rsidRPr="00BE20D1" w:rsidP="00BE20D1">
      <w:pPr>
        <w:pStyle w:val="List2"/>
      </w:pPr>
      <w:r>
        <w:t>•</w:t>
      </w:r>
      <w:r>
        <w:tab/>
      </w:r>
      <w:r w:rsidRPr="00BE20D1">
        <w:t>options for treatment of end-stage renal failure (haemodialysis, chronic ambulatory peritoneal dialysis, transplant)</w:t>
      </w:r>
    </w:p>
    <w:p w:rsidR="00000000" w:rsidRPr="00BE20D1" w:rsidP="00BE20D1">
      <w:pPr>
        <w:pStyle w:val="ListBullet"/>
      </w:pPr>
      <w:r w:rsidRPr="00BE20D1">
        <w:t>the dilemmas and difficulties faced by Aboriginal people and their families who need to relocate to distant centres in o</w:t>
      </w:r>
      <w:r w:rsidRPr="00BE20D1">
        <w:t>rder to access dialysis treatment</w:t>
      </w:r>
    </w:p>
    <w:p w:rsidR="00000000" w:rsidRPr="00BE20D1" w:rsidP="00BE20D1">
      <w:pPr>
        <w:pStyle w:val="ListBullet"/>
      </w:pPr>
      <w:r w:rsidRPr="00BE20D1">
        <w:t>familiarity with a range of other common chronic conditions in Aboriginal populations:</w:t>
      </w:r>
    </w:p>
    <w:p w:rsidR="00000000" w:rsidRPr="00BE20D1" w:rsidP="00BE20D1">
      <w:pPr>
        <w:pStyle w:val="List2"/>
      </w:pPr>
      <w:r>
        <w:t>•</w:t>
      </w:r>
      <w:r>
        <w:tab/>
      </w:r>
      <w:r w:rsidRPr="00BE20D1">
        <w:t>chronic liver disease – causes, clinical features and principles of management (including hepatitis B, hepatitis C, alcoholic liver d</w:t>
      </w:r>
      <w:r w:rsidRPr="00BE20D1">
        <w:t>isease and cirrhosis)</w:t>
      </w:r>
    </w:p>
    <w:p w:rsidR="00000000" w:rsidRPr="00BE20D1" w:rsidP="00BE20D1">
      <w:pPr>
        <w:pStyle w:val="List2"/>
      </w:pPr>
      <w:r>
        <w:t>•</w:t>
      </w:r>
      <w:r>
        <w:tab/>
      </w:r>
      <w:r w:rsidRPr="00BE20D1">
        <w:t>chronic obstructive lung disease, relationship to smoking and principles of management</w:t>
      </w:r>
    </w:p>
    <w:p w:rsidR="00000000" w:rsidRPr="00BE20D1" w:rsidP="00BE20D1">
      <w:pPr>
        <w:pStyle w:val="ListBullet"/>
      </w:pPr>
      <w:r w:rsidRPr="00BE20D1">
        <w:t>agencies able to provide support and assistance to Aboriginal and/or Torres Strait Islander people with chronic disabilities</w:t>
      </w:r>
    </w:p>
    <w:p w:rsidR="00000000" w:rsidRPr="00BE20D1" w:rsidP="00BE20D1">
      <w:pPr>
        <w:pStyle w:val="ListBullet"/>
      </w:pPr>
      <w:r w:rsidRPr="00BE20D1">
        <w:t>strategies to assis</w:t>
      </w:r>
      <w:r w:rsidRPr="00BE20D1">
        <w:t>t Aboriginal and/or Torres Strait Islander people with disabilities to live fulfilling and productive lives in the community</w:t>
      </w:r>
    </w:p>
    <w:p w:rsidR="00000000" w:rsidRPr="00BE20D1" w:rsidP="00BE20D1">
      <w:pPr>
        <w:pStyle w:val="ListBullet"/>
      </w:pPr>
      <w:r w:rsidRPr="00BE20D1">
        <w:t>methods of organising care of clients with chronic conditions (e.g. disease registers, care plan schedules in medical files, taggin</w:t>
      </w:r>
      <w:r w:rsidRPr="00BE20D1">
        <w:t>g files, computerised client information and recall systems)</w:t>
      </w:r>
    </w:p>
    <w:p w:rsidR="00000000" w:rsidRPr="00BE20D1" w:rsidP="00BE20D1">
      <w:pPr>
        <w:pStyle w:val="ListBullet"/>
      </w:pPr>
      <w:r w:rsidRPr="00BE20D1">
        <w:t>value of the opportunistic approach to chronic condition surveillance (comprehensive check-ups as people come to the clinic)</w:t>
      </w:r>
    </w:p>
    <w:p w:rsidR="00000000" w:rsidRPr="00BE20D1" w:rsidP="00BE20D1">
      <w:pPr>
        <w:pStyle w:val="AllowPageBreak"/>
      </w:pPr>
    </w:p>
    <w:p w:rsidR="00000000" w:rsidRPr="00BE20D1" w:rsidP="00BE20D1">
      <w:pPr>
        <w:pStyle w:val="Heading1"/>
      </w:pPr>
      <w:bookmarkStart w:id="4" w:name="O_745031"/>
      <w:bookmarkEnd w:id="4"/>
      <w:r w:rsidRPr="00BE20D1">
        <w:t>Assessment Conditions</w:t>
      </w:r>
    </w:p>
    <w:p w:rsidR="00000000" w:rsidRPr="00BE20D1" w:rsidP="00763113">
      <w:pPr>
        <w:pStyle w:val="BodyText"/>
      </w:pPr>
      <w:r w:rsidRPr="00BE20D1">
        <w:t>Skills must be demonstrated wor</w:t>
      </w:r>
      <w:r w:rsidRPr="00BE20D1">
        <w:t>king:</w:t>
      </w:r>
    </w:p>
    <w:p w:rsidR="00000000" w:rsidRPr="00BE20D1" w:rsidP="00BE20D1">
      <w:pPr>
        <w:pStyle w:val="ListBullet"/>
      </w:pPr>
      <w:r w:rsidRPr="00BE20D1">
        <w:t>in a health service or centre</w:t>
      </w:r>
    </w:p>
    <w:p w:rsidR="00000000" w:rsidRPr="00BE20D1" w:rsidP="00BE20D1">
      <w:pPr>
        <w:pStyle w:val="ListBullet"/>
      </w:pPr>
      <w:r w:rsidRPr="00BE20D1">
        <w:t xml:space="preserve">as part of a multidisciplinary primary health care team </w:t>
      </w:r>
    </w:p>
    <w:p w:rsidR="00000000" w:rsidRPr="00BE20D1" w:rsidP="00BE20D1">
      <w:pPr>
        <w:pStyle w:val="ListBullet"/>
      </w:pPr>
      <w:r w:rsidRPr="00BE20D1">
        <w:t xml:space="preserve">with Aboriginal and/or Torres Strait Islander clients and communities. </w:t>
      </w:r>
    </w:p>
    <w:p w:rsidR="00000000" w:rsidRPr="00BE20D1" w:rsidP="00BE20D1">
      <w:pPr>
        <w:pStyle w:val="BodyText"/>
      </w:pPr>
    </w:p>
    <w:p w:rsidR="00000000" w:rsidRPr="00BE20D1" w:rsidP="00763113">
      <w:pPr>
        <w:pStyle w:val="BodyText"/>
      </w:pPr>
      <w:r w:rsidRPr="00BE20D1">
        <w:t>In addition, simulations and scenarios must be used where the full range of contexts and situations cannot be provided in the workplace or may occur only rarely. These are situations relating to emergency or unplanned procedures where assessment in these c</w:t>
      </w:r>
      <w:r w:rsidRPr="00BE20D1">
        <w:t xml:space="preserve">ircumstances would be unsafe or is impractical. </w:t>
      </w:r>
    </w:p>
    <w:p w:rsidR="00000000" w:rsidRPr="00BE20D1" w:rsidP="00763113">
      <w:pPr>
        <w:pStyle w:val="BodyText"/>
      </w:pPr>
      <w:r w:rsidRPr="00BE20D1">
        <w:t>Simulated assessment environments must simulate the real-life working environment where these skills and knowledge would be performed, with all the relevant equipment and resources of that working environme</w:t>
      </w:r>
      <w:r w:rsidRPr="00BE20D1">
        <w:t>nt, including medical equipment used to conduct checkups, such as sphygmomanometer and glucometer to monitor blood pressure and blood sugar.</w:t>
      </w:r>
    </w:p>
    <w:p w:rsidR="00000000" w:rsidRPr="00BE20D1" w:rsidP="00763113">
      <w:pPr>
        <w:pStyle w:val="BodyText"/>
      </w:pPr>
      <w:r w:rsidRPr="00BE20D1">
        <w:t xml:space="preserve">Assessors must satisfy the Standards for Registered Training Organisations (RTOs) 2015/AQTF mandatory competency </w:t>
      </w:r>
      <w:r w:rsidRPr="00BE20D1">
        <w:t>requirements for assessors.</w:t>
      </w:r>
    </w:p>
    <w:p w:rsidR="00000000" w:rsidRPr="00BE20D1" w:rsidP="00763113">
      <w:pPr>
        <w:pStyle w:val="BodyText"/>
      </w:pPr>
      <w:r w:rsidRPr="00BE20D1">
        <w:t>Assessment must be undertaken by a workplace assessor who has expertise in this unit of competency and who is:</w:t>
      </w:r>
    </w:p>
    <w:p w:rsidR="00000000" w:rsidRPr="00BE20D1" w:rsidP="00763113">
      <w:pPr>
        <w:pStyle w:val="BodyText"/>
      </w:pPr>
      <w:r w:rsidRPr="00BE20D1">
        <w:t>an Aboriginal and/or Torres Strait Islander Health Worker</w:t>
      </w:r>
      <w:r>
        <w:t xml:space="preserve"> </w:t>
      </w:r>
      <w:r w:rsidRPr="00BE20D1">
        <w:t>or:</w:t>
      </w:r>
    </w:p>
    <w:p w:rsidR="00000000" w:rsidRPr="00BE20D1" w:rsidP="00BE20D1">
      <w:pPr>
        <w:pStyle w:val="ListBullet"/>
      </w:pPr>
      <w:r w:rsidRPr="00BE20D1">
        <w:t>accompanied by an Aboriginal and/or Torres Strait Is</w:t>
      </w:r>
      <w:r w:rsidRPr="00BE20D1">
        <w:t>lander person who is a recognised member of the community with experience in primary health care.</w:t>
      </w:r>
    </w:p>
    <w:p w:rsidR="00000000" w:rsidRPr="00BE20D1" w:rsidP="00BE20D1">
      <w:pPr>
        <w:pStyle w:val="AllowPageBreak"/>
      </w:pPr>
    </w:p>
    <w:p w:rsidR="00000000" w:rsidRPr="00BE20D1" w:rsidP="00BE20D1">
      <w:pPr>
        <w:pStyle w:val="Heading1"/>
      </w:pPr>
      <w:bookmarkStart w:id="5" w:name="O_745042"/>
      <w:bookmarkEnd w:id="5"/>
      <w:r w:rsidRPr="00BE20D1">
        <w:t>Links</w:t>
      </w:r>
    </w:p>
    <w:p w:rsidR="00000000" w:rsidRPr="00BE20D1" w:rsidP="00763113">
      <w:pPr>
        <w:pStyle w:val="BodyText"/>
      </w:pPr>
      <w:r w:rsidRPr="00BE20D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57C22">
        <w:rPr>
          <w:rStyle w:val="Hyperlink"/>
        </w:rPr>
        <w:t>https://vetnet.gov.au/Pages/TrainingDocs.aspx?q=ced1390f-48d9-4ab0-bd50-b015e5485705</w:t>
      </w:r>
      <w:r>
        <w:fldChar w:fldCharType="end"/>
      </w:r>
    </w:p>
    <w:p w:rsidR="00000000" w:rsidRPr="00BE20D1" w:rsidP="00BE20D1"/>
    <w:sectPr w:rsidSect="00BE20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0D1" w:rsidRPr="00763113" w:rsidP="007631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13" w:rsidP="00BE2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113" w:rsidP="00BE20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63113" w:rsidP="00BE2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0D1" w:rsidRPr="00763113" w:rsidP="007631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13" w:rsidRPr="002D2AF8" w:rsidP="00BE20D1">
    <w:pPr>
      <w:pStyle w:val="Header"/>
      <w:framePr w:wrap="around"/>
    </w:pPr>
    <w:r>
      <w:fldChar w:fldCharType="begin"/>
    </w:r>
    <w:r>
      <w:instrText xml:space="preserve"> TITLE   \* MERGEFORMAT </w:instrText>
    </w:r>
    <w:r>
      <w:fldChar w:fldCharType="separate"/>
    </w:r>
    <w:r>
      <w:t>Assessment Requirements for HLTAHW028 Provide information and strategies in chronic condition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763113" w:rsidP="00BE2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7A1C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389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0D1"/>
    <w:pPr>
      <w:spacing w:before="360" w:after="60"/>
      <w:outlineLvl w:val="0"/>
    </w:pPr>
    <w:rPr>
      <w:sz w:val="32"/>
    </w:rPr>
  </w:style>
  <w:style w:type="paragraph" w:styleId="Heading2">
    <w:name w:val="heading 2"/>
    <w:basedOn w:val="HeadingBase"/>
    <w:next w:val="BodyText"/>
    <w:link w:val="Heading2Char"/>
    <w:qFormat/>
    <w:rsid w:val="00BE20D1"/>
    <w:pPr>
      <w:keepLines/>
      <w:spacing w:before="240" w:after="120"/>
      <w:outlineLvl w:val="1"/>
    </w:pPr>
    <w:rPr>
      <w:sz w:val="28"/>
      <w:szCs w:val="40"/>
    </w:rPr>
  </w:style>
  <w:style w:type="paragraph" w:styleId="Heading3">
    <w:name w:val="heading 3"/>
    <w:basedOn w:val="HeadingBase"/>
    <w:next w:val="BodyText"/>
    <w:link w:val="Heading3Char"/>
    <w:qFormat/>
    <w:rsid w:val="00BE20D1"/>
    <w:pPr>
      <w:spacing w:before="180" w:after="120"/>
      <w:outlineLvl w:val="2"/>
    </w:pPr>
    <w:rPr>
      <w:spacing w:val="-10"/>
      <w:kern w:val="32"/>
    </w:rPr>
  </w:style>
  <w:style w:type="paragraph" w:styleId="Heading4">
    <w:name w:val="heading 4"/>
    <w:basedOn w:val="HeadingBase"/>
    <w:next w:val="BodyText"/>
    <w:link w:val="Heading4Char"/>
    <w:qFormat/>
    <w:rsid w:val="00BE20D1"/>
    <w:pPr>
      <w:spacing w:before="160" w:after="120"/>
      <w:outlineLvl w:val="3"/>
    </w:pPr>
    <w:rPr>
      <w:sz w:val="22"/>
    </w:rPr>
  </w:style>
  <w:style w:type="paragraph" w:styleId="Heading5">
    <w:name w:val="heading 5"/>
    <w:basedOn w:val="HeadingBase"/>
    <w:next w:val="Normal"/>
    <w:link w:val="Heading5Char"/>
    <w:qFormat/>
    <w:rsid w:val="00BE20D1"/>
    <w:pPr>
      <w:spacing w:before="80"/>
      <w:outlineLvl w:val="4"/>
    </w:pPr>
    <w:rPr>
      <w:color w:val="918585"/>
      <w:sz w:val="20"/>
    </w:rPr>
  </w:style>
  <w:style w:type="paragraph" w:styleId="Heading6">
    <w:name w:val="heading 6"/>
    <w:basedOn w:val="HeadingBase"/>
    <w:next w:val="Normal"/>
    <w:link w:val="Heading6Char"/>
    <w:qFormat/>
    <w:rsid w:val="00BE20D1"/>
    <w:pPr>
      <w:spacing w:before="60"/>
      <w:outlineLvl w:val="5"/>
    </w:pPr>
    <w:rPr>
      <w:color w:val="918585"/>
      <w:sz w:val="20"/>
    </w:rPr>
  </w:style>
  <w:style w:type="paragraph" w:styleId="Heading7">
    <w:name w:val="heading 7"/>
    <w:basedOn w:val="Normal"/>
    <w:next w:val="Normal"/>
    <w:link w:val="Heading7Char"/>
    <w:qFormat/>
    <w:rsid w:val="00BE20D1"/>
    <w:pPr>
      <w:ind w:left="720"/>
      <w:outlineLvl w:val="6"/>
    </w:pPr>
    <w:rPr>
      <w:i/>
    </w:rPr>
  </w:style>
  <w:style w:type="paragraph" w:styleId="Heading8">
    <w:name w:val="heading 8"/>
    <w:basedOn w:val="Normal"/>
    <w:next w:val="Normal"/>
    <w:link w:val="Heading8Char"/>
    <w:qFormat/>
    <w:rsid w:val="00BE20D1"/>
    <w:pPr>
      <w:ind w:left="720"/>
      <w:outlineLvl w:val="7"/>
    </w:pPr>
    <w:rPr>
      <w:i/>
    </w:rPr>
  </w:style>
  <w:style w:type="paragraph" w:styleId="Heading9">
    <w:name w:val="heading 9"/>
    <w:basedOn w:val="Normal"/>
    <w:next w:val="Normal"/>
    <w:link w:val="Heading9Char"/>
    <w:qFormat/>
    <w:rsid w:val="00BE20D1"/>
    <w:pPr>
      <w:ind w:left="720"/>
      <w:outlineLvl w:val="8"/>
    </w:pPr>
    <w:rPr>
      <w:i/>
    </w:rPr>
  </w:style>
  <w:style w:type="character" w:default="1" w:styleId="DefaultParagraphFont">
    <w:name w:val="Default Paragraph Font"/>
    <w:uiPriority w:val="1"/>
    <w:unhideWhenUsed/>
    <w:rsid w:val="00BE2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0D1"/>
  </w:style>
  <w:style w:type="character" w:customStyle="1" w:styleId="Heading1Char">
    <w:name w:val="Heading 1 Char"/>
    <w:basedOn w:val="DefaultParagraphFont"/>
    <w:link w:val="Heading1"/>
    <w:rsid w:val="00BE20D1"/>
    <w:rPr>
      <w:rFonts w:ascii="Times New Roman" w:eastAsia="Times New Roman" w:hAnsi="Times New Roman" w:cs="Times New Roman"/>
      <w:b/>
      <w:sz w:val="32"/>
      <w:szCs w:val="20"/>
      <w:lang w:eastAsia="en-US"/>
    </w:rPr>
  </w:style>
  <w:style w:type="paragraph" w:styleId="BodyText">
    <w:name w:val="Body Text"/>
    <w:basedOn w:val="Normal"/>
    <w:link w:val="BodyTextChar"/>
    <w:rsid w:val="00BE2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0D1"/>
    <w:rPr>
      <w:rFonts w:ascii="Times New Roman" w:eastAsia="Times New Roman" w:hAnsi="Times New Roman" w:cs="Times New Roman"/>
      <w:sz w:val="24"/>
      <w:lang w:eastAsia="en-US"/>
    </w:rPr>
  </w:style>
  <w:style w:type="paragraph" w:styleId="ListBullet">
    <w:name w:val="List Bullet"/>
    <w:basedOn w:val="List"/>
    <w:rsid w:val="00BE20D1"/>
    <w:pPr>
      <w:numPr>
        <w:numId w:val="11"/>
      </w:numPr>
      <w:tabs>
        <w:tab w:val="clear" w:pos="340"/>
      </w:tabs>
      <w:spacing w:before="40" w:after="40"/>
    </w:pPr>
  </w:style>
  <w:style w:type="character" w:customStyle="1" w:styleId="SpecialBold">
    <w:name w:val="Special Bold"/>
    <w:basedOn w:val="DefaultParagraphFont"/>
    <w:rsid w:val="00BE20D1"/>
    <w:rPr>
      <w:b/>
      <w:spacing w:val="0"/>
    </w:rPr>
  </w:style>
  <w:style w:type="character" w:styleId="Emphasis">
    <w:name w:val="Emphasis"/>
    <w:basedOn w:val="DefaultParagraphFont"/>
    <w:qFormat/>
    <w:rsid w:val="00BE20D1"/>
    <w:rPr>
      <w:i/>
    </w:rPr>
  </w:style>
  <w:style w:type="paragraph" w:customStyle="1" w:styleId="SuperHeading">
    <w:name w:val="SuperHeading"/>
    <w:basedOn w:val="Normal"/>
    <w:rsid w:val="00BE20D1"/>
    <w:pPr>
      <w:spacing w:before="240" w:after="120"/>
      <w:outlineLvl w:val="0"/>
    </w:pPr>
    <w:rPr>
      <w:rFonts w:ascii="Times New Roman" w:hAnsi="Times New Roman"/>
      <w:b/>
      <w:sz w:val="32"/>
    </w:rPr>
  </w:style>
  <w:style w:type="paragraph" w:customStyle="1" w:styleId="AllowPageBreak">
    <w:name w:val="AllowPageBreak"/>
    <w:rsid w:val="00BE20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20D1"/>
    <w:pPr>
      <w:tabs>
        <w:tab w:val="left" w:pos="680"/>
      </w:tabs>
      <w:spacing w:before="60" w:after="60"/>
      <w:ind w:left="680" w:hanging="340"/>
    </w:pPr>
  </w:style>
  <w:style w:type="character" w:customStyle="1" w:styleId="Heading2Char">
    <w:name w:val="Heading 2 Char"/>
    <w:basedOn w:val="DefaultParagraphFont"/>
    <w:link w:val="Heading2"/>
    <w:rsid w:val="00BE2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0D1"/>
    <w:rPr>
      <w:rFonts w:ascii="Courier New" w:eastAsia="Times New Roman" w:hAnsi="Courier New" w:cs="Times New Roman"/>
      <w:i/>
      <w:szCs w:val="20"/>
      <w:lang w:eastAsia="en-US"/>
    </w:rPr>
  </w:style>
  <w:style w:type="paragraph" w:customStyle="1" w:styleId="HeadingBase">
    <w:name w:val="Heading Base"/>
    <w:rsid w:val="00BE2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0D1"/>
    <w:pPr>
      <w:tabs>
        <w:tab w:val="right" w:leader="dot" w:pos="9072"/>
      </w:tabs>
      <w:ind w:left="567"/>
    </w:pPr>
    <w:rPr>
      <w:szCs w:val="22"/>
    </w:rPr>
  </w:style>
  <w:style w:type="paragraph" w:customStyle="1" w:styleId="TOCBase">
    <w:name w:val="TOC Base"/>
    <w:rsid w:val="00BE2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0D1"/>
    <w:pPr>
      <w:tabs>
        <w:tab w:val="right" w:leader="dot" w:pos="9072"/>
      </w:tabs>
      <w:spacing w:before="40" w:after="40"/>
      <w:ind w:left="284"/>
    </w:pPr>
    <w:rPr>
      <w:rFonts w:ascii="Times New Roman" w:hAnsi="Times New Roman"/>
    </w:rPr>
  </w:style>
  <w:style w:type="paragraph" w:styleId="TOC1">
    <w:name w:val="toc 1"/>
    <w:basedOn w:val="TOCBase"/>
    <w:next w:val="Normal"/>
    <w:rsid w:val="00BE2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0D1"/>
    <w:rPr>
      <w:rFonts w:ascii="Times New Roman" w:eastAsia="Times New Roman" w:hAnsi="Times New Roman" w:cs="Times New Roman"/>
      <w:sz w:val="16"/>
      <w:lang w:eastAsia="en-US"/>
    </w:rPr>
  </w:style>
  <w:style w:type="paragraph" w:styleId="Title">
    <w:name w:val="Title"/>
    <w:basedOn w:val="HeadingBase"/>
    <w:link w:val="TitleChar"/>
    <w:qFormat/>
    <w:rsid w:val="00BE20D1"/>
    <w:pPr>
      <w:spacing w:before="5040"/>
      <w:jc w:val="center"/>
    </w:pPr>
    <w:rPr>
      <w:sz w:val="48"/>
      <w:szCs w:val="72"/>
      <w:lang w:val="en-US"/>
    </w:rPr>
  </w:style>
  <w:style w:type="character" w:customStyle="1" w:styleId="TitleChar">
    <w:name w:val="Title Char"/>
    <w:basedOn w:val="DefaultParagraphFont"/>
    <w:link w:val="Title"/>
    <w:rsid w:val="00BE2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0D1"/>
    <w:pPr>
      <w:tabs>
        <w:tab w:val="left" w:pos="3600"/>
        <w:tab w:val="left" w:pos="3958"/>
      </w:tabs>
    </w:pPr>
  </w:style>
  <w:style w:type="paragraph" w:styleId="List">
    <w:name w:val="List"/>
    <w:basedOn w:val="BodyText"/>
    <w:next w:val="BodyText"/>
    <w:rsid w:val="00BE20D1"/>
    <w:pPr>
      <w:tabs>
        <w:tab w:val="left" w:pos="340"/>
      </w:tabs>
      <w:spacing w:before="60" w:after="60"/>
      <w:ind w:left="340" w:hanging="340"/>
    </w:pPr>
  </w:style>
  <w:style w:type="paragraph" w:customStyle="1" w:styleId="Note">
    <w:name w:val="Note"/>
    <w:basedOn w:val="BodyText"/>
    <w:rsid w:val="00BE2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0D1"/>
    <w:pPr>
      <w:framePr w:wrap="auto" w:hAnchor="text" w:y="6049"/>
    </w:pPr>
    <w:rPr>
      <w:color w:val="000000"/>
      <w:sz w:val="40"/>
    </w:rPr>
  </w:style>
  <w:style w:type="paragraph" w:customStyle="1" w:styleId="TOCTitle">
    <w:name w:val="TOCTitle"/>
    <w:basedOn w:val="Heading1"/>
    <w:rsid w:val="00BE20D1"/>
    <w:pPr>
      <w:spacing w:after="240"/>
      <w:jc w:val="center"/>
      <w:outlineLvl w:val="9"/>
    </w:pPr>
    <w:rPr>
      <w:caps/>
    </w:rPr>
  </w:style>
  <w:style w:type="paragraph" w:customStyle="1" w:styleId="Version">
    <w:name w:val="Version"/>
    <w:rsid w:val="00BE20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20D1"/>
    <w:pPr>
      <w:numPr>
        <w:numId w:val="12"/>
      </w:numPr>
      <w:tabs>
        <w:tab w:val="clear" w:pos="680"/>
      </w:tabs>
    </w:pPr>
  </w:style>
  <w:style w:type="paragraph" w:styleId="Index1">
    <w:name w:val="index 1"/>
    <w:basedOn w:val="Normal"/>
    <w:next w:val="Normal"/>
    <w:semiHidden/>
    <w:rsid w:val="00BE20D1"/>
    <w:pPr>
      <w:keepNext w:val="0"/>
      <w:tabs>
        <w:tab w:val="right" w:pos="4176"/>
      </w:tabs>
      <w:ind w:left="198" w:hanging="198"/>
    </w:pPr>
    <w:rPr>
      <w:rFonts w:ascii="Garamond" w:hAnsi="Garamond"/>
    </w:rPr>
  </w:style>
  <w:style w:type="paragraph" w:styleId="IndexHeading">
    <w:name w:val="index heading"/>
    <w:basedOn w:val="Normal"/>
    <w:next w:val="Index1"/>
    <w:semiHidden/>
    <w:rsid w:val="00BE20D1"/>
    <w:pPr>
      <w:spacing w:before="120" w:after="120"/>
    </w:pPr>
    <w:rPr>
      <w:rFonts w:ascii="Arial" w:hAnsi="Arial"/>
      <w:b/>
      <w:color w:val="918585"/>
      <w:sz w:val="24"/>
    </w:rPr>
  </w:style>
  <w:style w:type="paragraph" w:styleId="Header">
    <w:name w:val="header"/>
    <w:basedOn w:val="Normal"/>
    <w:link w:val="HeaderChar"/>
    <w:rsid w:val="00BE2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0D1"/>
    <w:rPr>
      <w:rFonts w:ascii="Times New Roman" w:eastAsia="Times New Roman" w:hAnsi="Times New Roman" w:cs="Times New Roman"/>
      <w:sz w:val="16"/>
      <w:szCs w:val="20"/>
      <w:lang w:val="en-GB" w:eastAsia="en-US"/>
    </w:rPr>
  </w:style>
  <w:style w:type="paragraph" w:customStyle="1" w:styleId="Chapter">
    <w:name w:val="Chapter"/>
    <w:basedOn w:val="Normal"/>
    <w:rsid w:val="00BE20D1"/>
    <w:pPr>
      <w:spacing w:before="240"/>
    </w:pPr>
    <w:rPr>
      <w:rFonts w:ascii="Times New Roman" w:hAnsi="Times New Roman"/>
      <w:smallCaps/>
      <w:spacing w:val="80"/>
      <w:sz w:val="28"/>
    </w:rPr>
  </w:style>
  <w:style w:type="paragraph" w:customStyle="1" w:styleId="InChapter">
    <w:name w:val="InChapter"/>
    <w:basedOn w:val="Heading3"/>
    <w:rsid w:val="00BE20D1"/>
    <w:pPr>
      <w:spacing w:after="240"/>
      <w:outlineLvl w:val="9"/>
    </w:pPr>
    <w:rPr>
      <w:noProof/>
    </w:rPr>
  </w:style>
  <w:style w:type="paragraph" w:styleId="Index2">
    <w:name w:val="index 2"/>
    <w:basedOn w:val="Normal"/>
    <w:next w:val="Normal"/>
    <w:semiHidden/>
    <w:rsid w:val="00BE20D1"/>
    <w:pPr>
      <w:tabs>
        <w:tab w:val="right" w:pos="4176"/>
      </w:tabs>
      <w:ind w:left="568" w:hanging="284"/>
    </w:pPr>
    <w:rPr>
      <w:rFonts w:ascii="Garamond" w:hAnsi="Garamond"/>
    </w:rPr>
  </w:style>
  <w:style w:type="paragraph" w:customStyle="1" w:styleId="Byline">
    <w:name w:val="Byline"/>
    <w:rsid w:val="00BE2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0D1"/>
    <w:pPr>
      <w:tabs>
        <w:tab w:val="clear" w:pos="3600"/>
        <w:tab w:val="clear" w:pos="3958"/>
      </w:tabs>
      <w:jc w:val="right"/>
    </w:pPr>
  </w:style>
  <w:style w:type="paragraph" w:styleId="Caption">
    <w:name w:val="caption"/>
    <w:basedOn w:val="BodyText"/>
    <w:next w:val="Normal"/>
    <w:qFormat/>
    <w:rsid w:val="00BE20D1"/>
    <w:pPr>
      <w:framePr w:w="2268" w:hSpace="181" w:vSpace="181" w:wrap="around" w:vAnchor="text" w:hAnchor="page" w:x="1135" w:y="285" w:anchorLock="1"/>
    </w:pPr>
    <w:rPr>
      <w:i/>
    </w:rPr>
  </w:style>
  <w:style w:type="paragraph" w:customStyle="1" w:styleId="MiniTOCTitle">
    <w:name w:val="MiniTOCTitle"/>
    <w:basedOn w:val="Heading4"/>
    <w:rsid w:val="00BE20D1"/>
    <w:pPr>
      <w:spacing w:before="240"/>
      <w:outlineLvl w:val="9"/>
    </w:pPr>
    <w:rPr>
      <w:noProof/>
      <w:sz w:val="24"/>
    </w:rPr>
  </w:style>
  <w:style w:type="paragraph" w:customStyle="1" w:styleId="MiniTOCItem">
    <w:name w:val="MiniTOCItem"/>
    <w:basedOn w:val="ListBullet"/>
    <w:rsid w:val="00BE20D1"/>
    <w:pPr>
      <w:numPr>
        <w:numId w:val="0"/>
      </w:numPr>
      <w:tabs>
        <w:tab w:val="right" w:leader="dot" w:pos="6521"/>
      </w:tabs>
      <w:spacing w:before="0" w:after="0"/>
    </w:pPr>
  </w:style>
  <w:style w:type="paragraph" w:customStyle="1" w:styleId="TOFTitle">
    <w:name w:val="TOFTitle"/>
    <w:basedOn w:val="TOCTitle"/>
    <w:rsid w:val="00BE20D1"/>
  </w:style>
  <w:style w:type="paragraph" w:styleId="TableofFigures">
    <w:name w:val="table of figures"/>
    <w:basedOn w:val="Normal"/>
    <w:next w:val="Normal"/>
    <w:semiHidden/>
    <w:rsid w:val="00BE20D1"/>
    <w:pPr>
      <w:tabs>
        <w:tab w:val="right" w:leader="dot" w:pos="9072"/>
      </w:tabs>
      <w:ind w:left="970" w:hanging="403"/>
    </w:pPr>
    <w:rPr>
      <w:rFonts w:ascii="Times New Roman" w:hAnsi="Times New Roman"/>
      <w:b/>
    </w:rPr>
  </w:style>
  <w:style w:type="paragraph" w:styleId="ListNumber">
    <w:name w:val="List Number"/>
    <w:basedOn w:val="List"/>
    <w:rsid w:val="00BE20D1"/>
    <w:pPr>
      <w:numPr>
        <w:numId w:val="14"/>
      </w:numPr>
      <w:tabs>
        <w:tab w:val="clear" w:pos="340"/>
      </w:tabs>
    </w:pPr>
  </w:style>
  <w:style w:type="character" w:customStyle="1" w:styleId="WingdingSymbols">
    <w:name w:val="Wingding Symbols"/>
    <w:rsid w:val="00BE20D1"/>
    <w:rPr>
      <w:rFonts w:ascii="Wingdings" w:hAnsi="Wingdings"/>
    </w:rPr>
  </w:style>
  <w:style w:type="paragraph" w:customStyle="1" w:styleId="TableHeading">
    <w:name w:val="Table Heading"/>
    <w:basedOn w:val="HeadingBase"/>
    <w:rsid w:val="00BE20D1"/>
    <w:pPr>
      <w:keepLines/>
      <w:pBdr>
        <w:bottom w:val="single" w:sz="6" w:space="1" w:color="918585"/>
      </w:pBdr>
      <w:spacing w:before="240"/>
    </w:pPr>
  </w:style>
  <w:style w:type="character" w:customStyle="1" w:styleId="HotSpot">
    <w:name w:val="HotSpot"/>
    <w:rsid w:val="00BE20D1"/>
    <w:rPr>
      <w:color w:val="0033CC"/>
      <w:u w:val="none"/>
    </w:rPr>
  </w:style>
  <w:style w:type="paragraph" w:customStyle="1" w:styleId="BodyTextRight">
    <w:name w:val="Body Text Right"/>
    <w:basedOn w:val="BodyText"/>
    <w:rsid w:val="00BE20D1"/>
    <w:pPr>
      <w:spacing w:before="0" w:after="0"/>
      <w:jc w:val="right"/>
    </w:pPr>
  </w:style>
  <w:style w:type="paragraph" w:styleId="Index3">
    <w:name w:val="index 3"/>
    <w:basedOn w:val="ListNumber2"/>
    <w:next w:val="Normal"/>
    <w:semiHidden/>
    <w:rsid w:val="00BE20D1"/>
    <w:pPr>
      <w:numPr>
        <w:numId w:val="0"/>
      </w:numPr>
      <w:tabs>
        <w:tab w:val="right" w:leader="dot" w:pos="4176"/>
      </w:tabs>
    </w:pPr>
  </w:style>
  <w:style w:type="paragraph" w:styleId="ListNumber2">
    <w:name w:val="List Number 2"/>
    <w:basedOn w:val="List2"/>
    <w:rsid w:val="00BE20D1"/>
    <w:pPr>
      <w:numPr>
        <w:numId w:val="9"/>
      </w:numPr>
      <w:tabs>
        <w:tab w:val="clear" w:pos="1060"/>
      </w:tabs>
    </w:pPr>
  </w:style>
  <w:style w:type="paragraph" w:customStyle="1" w:styleId="MarginNote">
    <w:name w:val="Margin Note"/>
    <w:basedOn w:val="BodyText"/>
    <w:rsid w:val="00BE2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0D1"/>
    <w:rPr>
      <w:sz w:val="32"/>
    </w:rPr>
  </w:style>
  <w:style w:type="paragraph" w:customStyle="1" w:styleId="HeadingProcedure">
    <w:name w:val="Heading Procedure"/>
    <w:basedOn w:val="HeadingBase"/>
    <w:next w:val="Normal"/>
    <w:rsid w:val="00BE20D1"/>
    <w:pPr>
      <w:tabs>
        <w:tab w:val="left" w:pos="0"/>
      </w:tabs>
      <w:spacing w:before="120" w:after="60"/>
    </w:pPr>
    <w:rPr>
      <w:i/>
      <w:color w:val="918585"/>
      <w:sz w:val="22"/>
    </w:rPr>
  </w:style>
  <w:style w:type="paragraph" w:customStyle="1" w:styleId="TableBodyText">
    <w:name w:val="Table Body Text"/>
    <w:basedOn w:val="BodyText"/>
    <w:rsid w:val="00BE20D1"/>
    <w:pPr>
      <w:spacing w:before="60" w:after="60"/>
    </w:pPr>
  </w:style>
  <w:style w:type="paragraph" w:styleId="ListContinue">
    <w:name w:val="List Continue"/>
    <w:basedOn w:val="List"/>
    <w:rsid w:val="00BE20D1"/>
    <w:pPr>
      <w:ind w:firstLine="0"/>
    </w:pPr>
  </w:style>
  <w:style w:type="paragraph" w:customStyle="1" w:styleId="ListNote">
    <w:name w:val="List Note"/>
    <w:basedOn w:val="List"/>
    <w:rsid w:val="00BE20D1"/>
    <w:pPr>
      <w:pBdr>
        <w:top w:val="single" w:sz="6" w:space="2" w:color="918585"/>
        <w:bottom w:val="single" w:sz="6" w:space="2" w:color="918585"/>
      </w:pBdr>
      <w:tabs>
        <w:tab w:val="left" w:pos="1021"/>
      </w:tabs>
      <w:ind w:firstLine="0"/>
    </w:pPr>
  </w:style>
  <w:style w:type="paragraph" w:customStyle="1" w:styleId="Warning">
    <w:name w:val="Warning"/>
    <w:basedOn w:val="BodyText"/>
    <w:rsid w:val="00BE20D1"/>
    <w:pPr>
      <w:shd w:val="clear" w:color="auto" w:fill="D9D9D9"/>
      <w:tabs>
        <w:tab w:val="left" w:pos="992"/>
      </w:tabs>
      <w:ind w:left="119" w:right="119"/>
    </w:pPr>
    <w:rPr>
      <w:sz w:val="20"/>
    </w:rPr>
  </w:style>
  <w:style w:type="paragraph" w:customStyle="1" w:styleId="MarginIcons">
    <w:name w:val="Margin Icons"/>
    <w:basedOn w:val="BodyText"/>
    <w:rsid w:val="00BE2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0D1"/>
    <w:rPr>
      <w:rFonts w:ascii="Courier New" w:hAnsi="Courier New"/>
    </w:rPr>
  </w:style>
  <w:style w:type="paragraph" w:customStyle="1" w:styleId="NoteBullet">
    <w:name w:val="Note Bullet"/>
    <w:basedOn w:val="Note"/>
    <w:rsid w:val="00BE20D1"/>
    <w:pPr>
      <w:tabs>
        <w:tab w:val="clear" w:pos="680"/>
      </w:tabs>
      <w:spacing w:before="60" w:after="60"/>
    </w:pPr>
  </w:style>
  <w:style w:type="paragraph" w:customStyle="1" w:styleId="SubHeading2">
    <w:name w:val="SubHeading2"/>
    <w:basedOn w:val="HeadingBase"/>
    <w:rsid w:val="00BE20D1"/>
    <w:pPr>
      <w:spacing w:before="240" w:after="60"/>
    </w:pPr>
    <w:rPr>
      <w:sz w:val="20"/>
    </w:rPr>
  </w:style>
  <w:style w:type="paragraph" w:customStyle="1" w:styleId="SubHeading1">
    <w:name w:val="SubHeading1"/>
    <w:basedOn w:val="HeadingBase"/>
    <w:rsid w:val="00BE20D1"/>
    <w:pPr>
      <w:spacing w:before="240" w:after="60"/>
    </w:pPr>
    <w:rPr>
      <w:color w:val="918585"/>
      <w:sz w:val="22"/>
    </w:rPr>
  </w:style>
  <w:style w:type="paragraph" w:customStyle="1" w:styleId="SideHeading">
    <w:name w:val="Side Heading"/>
    <w:basedOn w:val="HeadingBase"/>
    <w:rsid w:val="00BE2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0D1"/>
    <w:pPr>
      <w:numPr>
        <w:numId w:val="10"/>
      </w:numPr>
    </w:pPr>
  </w:style>
  <w:style w:type="paragraph" w:styleId="PlainText">
    <w:name w:val="Plain Text"/>
    <w:basedOn w:val="Normal"/>
    <w:link w:val="PlainTextChar"/>
    <w:rsid w:val="00BE20D1"/>
    <w:rPr>
      <w:sz w:val="20"/>
    </w:rPr>
  </w:style>
  <w:style w:type="character" w:customStyle="1" w:styleId="PlainTextChar">
    <w:name w:val="Plain Text Char"/>
    <w:basedOn w:val="DefaultParagraphFont"/>
    <w:link w:val="PlainText"/>
    <w:rsid w:val="00BE20D1"/>
    <w:rPr>
      <w:rFonts w:ascii="Courier New" w:eastAsia="Times New Roman" w:hAnsi="Courier New" w:cs="Times New Roman"/>
      <w:sz w:val="20"/>
      <w:szCs w:val="20"/>
      <w:lang w:eastAsia="en-US"/>
    </w:rPr>
  </w:style>
  <w:style w:type="character" w:customStyle="1" w:styleId="MenuOption">
    <w:name w:val="Menu Option"/>
    <w:basedOn w:val="DefaultParagraphFont"/>
    <w:rsid w:val="00BE20D1"/>
    <w:rPr>
      <w:b/>
      <w:smallCaps/>
    </w:rPr>
  </w:style>
  <w:style w:type="paragraph" w:customStyle="1" w:styleId="TableListNumber">
    <w:name w:val="Table List Number"/>
    <w:basedOn w:val="ListNumber"/>
    <w:rsid w:val="00BE20D1"/>
    <w:pPr>
      <w:numPr>
        <w:numId w:val="0"/>
      </w:numPr>
    </w:pPr>
  </w:style>
  <w:style w:type="paragraph" w:styleId="TOC4">
    <w:name w:val="toc 4"/>
    <w:basedOn w:val="TOCBase"/>
    <w:next w:val="Normal"/>
    <w:semiHidden/>
    <w:rsid w:val="00BE20D1"/>
    <w:pPr>
      <w:tabs>
        <w:tab w:val="right" w:leader="dot" w:pos="9071"/>
      </w:tabs>
      <w:ind w:left="1701"/>
    </w:pPr>
  </w:style>
  <w:style w:type="paragraph" w:customStyle="1" w:styleId="ListAlpha">
    <w:name w:val="List Alpha"/>
    <w:basedOn w:val="List"/>
    <w:rsid w:val="00BE20D1"/>
    <w:pPr>
      <w:numPr>
        <w:numId w:val="8"/>
      </w:numPr>
    </w:pPr>
  </w:style>
  <w:style w:type="paragraph" w:customStyle="1" w:styleId="ListAlpha2">
    <w:name w:val="List Alpha 2"/>
    <w:basedOn w:val="List2"/>
    <w:rsid w:val="00BE20D1"/>
    <w:pPr>
      <w:numPr>
        <w:numId w:val="7"/>
      </w:numPr>
    </w:pPr>
  </w:style>
  <w:style w:type="paragraph" w:styleId="List3">
    <w:name w:val="List 3"/>
    <w:basedOn w:val="BodyText"/>
    <w:rsid w:val="00BE20D1"/>
    <w:pPr>
      <w:tabs>
        <w:tab w:val="left" w:pos="1021"/>
      </w:tabs>
      <w:spacing w:before="60" w:after="60"/>
      <w:ind w:left="1020" w:hanging="340"/>
    </w:pPr>
  </w:style>
  <w:style w:type="paragraph" w:styleId="List4">
    <w:name w:val="List 4"/>
    <w:basedOn w:val="BodyText"/>
    <w:rsid w:val="00BE20D1"/>
    <w:pPr>
      <w:tabs>
        <w:tab w:val="left" w:pos="1361"/>
      </w:tabs>
      <w:spacing w:before="60" w:after="60"/>
      <w:ind w:left="1361" w:hanging="340"/>
    </w:pPr>
  </w:style>
  <w:style w:type="paragraph" w:styleId="List5">
    <w:name w:val="List 5"/>
    <w:basedOn w:val="BodyText"/>
    <w:rsid w:val="00BE20D1"/>
    <w:pPr>
      <w:tabs>
        <w:tab w:val="left" w:pos="1701"/>
      </w:tabs>
      <w:spacing w:before="60" w:after="60"/>
      <w:ind w:left="1701" w:hanging="340"/>
    </w:pPr>
  </w:style>
  <w:style w:type="paragraph" w:styleId="ListBullet3">
    <w:name w:val="List Bullet 3"/>
    <w:basedOn w:val="List3"/>
    <w:rsid w:val="00BE20D1"/>
    <w:pPr>
      <w:numPr>
        <w:numId w:val="13"/>
      </w:numPr>
      <w:tabs>
        <w:tab w:val="clear" w:pos="1021"/>
      </w:tabs>
      <w:ind w:left="1037" w:hanging="357"/>
    </w:pPr>
  </w:style>
  <w:style w:type="paragraph" w:styleId="ListBullet4">
    <w:name w:val="List Bullet 4"/>
    <w:basedOn w:val="List4"/>
    <w:rsid w:val="00BE20D1"/>
    <w:pPr>
      <w:numPr>
        <w:numId w:val="2"/>
      </w:numPr>
      <w:tabs>
        <w:tab w:val="clear" w:pos="1361"/>
      </w:tabs>
    </w:pPr>
  </w:style>
  <w:style w:type="paragraph" w:styleId="ListBullet5">
    <w:name w:val="List Bullet 5"/>
    <w:basedOn w:val="List5"/>
    <w:rsid w:val="00BE20D1"/>
    <w:pPr>
      <w:numPr>
        <w:numId w:val="3"/>
      </w:numPr>
    </w:pPr>
  </w:style>
  <w:style w:type="paragraph" w:styleId="ListContinue2">
    <w:name w:val="List Continue 2"/>
    <w:basedOn w:val="List2"/>
    <w:rsid w:val="00BE20D1"/>
    <w:pPr>
      <w:ind w:firstLine="0"/>
    </w:pPr>
  </w:style>
  <w:style w:type="paragraph" w:styleId="ListContinue3">
    <w:name w:val="List Continue 3"/>
    <w:basedOn w:val="List3"/>
    <w:rsid w:val="00BE20D1"/>
    <w:pPr>
      <w:ind w:left="1021" w:firstLine="0"/>
    </w:pPr>
  </w:style>
  <w:style w:type="paragraph" w:styleId="ListContinue4">
    <w:name w:val="List Continue 4"/>
    <w:basedOn w:val="List4"/>
    <w:rsid w:val="00BE20D1"/>
    <w:pPr>
      <w:ind w:firstLine="0"/>
    </w:pPr>
  </w:style>
  <w:style w:type="paragraph" w:styleId="ListContinue5">
    <w:name w:val="List Continue 5"/>
    <w:basedOn w:val="List5"/>
    <w:rsid w:val="00BE20D1"/>
    <w:pPr>
      <w:ind w:firstLine="0"/>
    </w:pPr>
  </w:style>
  <w:style w:type="paragraph" w:styleId="ListNumber3">
    <w:name w:val="List Number 3"/>
    <w:basedOn w:val="List3"/>
    <w:rsid w:val="00BE20D1"/>
    <w:pPr>
      <w:numPr>
        <w:numId w:val="4"/>
      </w:numPr>
    </w:pPr>
  </w:style>
  <w:style w:type="paragraph" w:styleId="ListNumber4">
    <w:name w:val="List Number 4"/>
    <w:basedOn w:val="List4"/>
    <w:rsid w:val="00BE20D1"/>
    <w:pPr>
      <w:numPr>
        <w:numId w:val="5"/>
      </w:numPr>
    </w:pPr>
  </w:style>
  <w:style w:type="paragraph" w:styleId="ListNumber5">
    <w:name w:val="List Number 5"/>
    <w:basedOn w:val="List5"/>
    <w:rsid w:val="00BE20D1"/>
    <w:pPr>
      <w:numPr>
        <w:numId w:val="6"/>
      </w:numPr>
    </w:pPr>
  </w:style>
  <w:style w:type="paragraph" w:styleId="BlockText">
    <w:name w:val="Block Text"/>
    <w:basedOn w:val="Normal"/>
    <w:rsid w:val="00BE20D1"/>
    <w:pPr>
      <w:spacing w:after="120"/>
      <w:ind w:left="1440" w:right="1440"/>
    </w:pPr>
  </w:style>
  <w:style w:type="character" w:customStyle="1" w:styleId="Subscript">
    <w:name w:val="Subscript"/>
    <w:basedOn w:val="DefaultParagraphFont"/>
    <w:rsid w:val="00BE20D1"/>
    <w:rPr>
      <w:sz w:val="16"/>
      <w:vertAlign w:val="subscript"/>
    </w:rPr>
  </w:style>
  <w:style w:type="character" w:customStyle="1" w:styleId="Superscript">
    <w:name w:val="Superscript"/>
    <w:basedOn w:val="DefaultParagraphFont"/>
    <w:rsid w:val="00BE20D1"/>
    <w:rPr>
      <w:sz w:val="16"/>
      <w:vertAlign w:val="superscript"/>
    </w:rPr>
  </w:style>
  <w:style w:type="character" w:customStyle="1" w:styleId="Symbols">
    <w:name w:val="Symbols"/>
    <w:basedOn w:val="DefaultParagraphFont"/>
    <w:rsid w:val="00BE20D1"/>
    <w:rPr>
      <w:rFonts w:ascii="Symbol" w:hAnsi="Symbol"/>
    </w:rPr>
  </w:style>
  <w:style w:type="character" w:customStyle="1" w:styleId="MenuOptions">
    <w:name w:val="Menu Options"/>
    <w:basedOn w:val="DefaultParagraphFont"/>
    <w:rsid w:val="00BE20D1"/>
    <w:rPr>
      <w:rFonts w:ascii="Arial Narrow" w:hAnsi="Arial Narrow"/>
      <w:smallCaps/>
    </w:rPr>
  </w:style>
  <w:style w:type="character" w:customStyle="1" w:styleId="Buttons">
    <w:name w:val="Buttons"/>
    <w:basedOn w:val="DefaultParagraphFont"/>
    <w:rsid w:val="00BE20D1"/>
    <w:rPr>
      <w:b/>
    </w:rPr>
  </w:style>
  <w:style w:type="character" w:customStyle="1" w:styleId="Underlined">
    <w:name w:val="Underlined"/>
    <w:basedOn w:val="DefaultParagraphFont"/>
    <w:rsid w:val="00BE20D1"/>
    <w:rPr>
      <w:u w:val="single"/>
    </w:rPr>
  </w:style>
  <w:style w:type="paragraph" w:customStyle="1" w:styleId="TableBodyTextRight">
    <w:name w:val="Table Body Text Right"/>
    <w:basedOn w:val="TableBodyText"/>
    <w:rsid w:val="00BE20D1"/>
    <w:pPr>
      <w:widowControl w:val="0"/>
      <w:autoSpaceDE w:val="0"/>
      <w:autoSpaceDN w:val="0"/>
      <w:adjustRightInd w:val="0"/>
      <w:jc w:val="right"/>
    </w:pPr>
    <w:rPr>
      <w:rFonts w:cs="Arial"/>
      <w:szCs w:val="18"/>
    </w:rPr>
  </w:style>
  <w:style w:type="paragraph" w:customStyle="1" w:styleId="CopyrightText">
    <w:name w:val="Copyright Text"/>
    <w:basedOn w:val="BodyText"/>
    <w:rsid w:val="00BE20D1"/>
    <w:rPr>
      <w:sz w:val="18"/>
    </w:rPr>
  </w:style>
  <w:style w:type="paragraph" w:customStyle="1" w:styleId="BodySmallRight">
    <w:name w:val="Body Small Right"/>
    <w:basedOn w:val="BodyTextRight"/>
    <w:rsid w:val="00BE20D1"/>
    <w:rPr>
      <w:sz w:val="18"/>
      <w:szCs w:val="18"/>
    </w:rPr>
  </w:style>
  <w:style w:type="paragraph" w:customStyle="1" w:styleId="MarginEdition">
    <w:name w:val="Margin Edition"/>
    <w:basedOn w:val="MarginNote"/>
    <w:rsid w:val="00BE20D1"/>
    <w:pPr>
      <w:spacing w:before="0" w:after="0"/>
    </w:pPr>
    <w:rPr>
      <w:rFonts w:ascii="Times New Roman" w:hAnsi="Times New Roman"/>
      <w:color w:val="999999"/>
    </w:rPr>
  </w:style>
  <w:style w:type="paragraph" w:customStyle="1" w:styleId="Spacer">
    <w:name w:val="Spacer"/>
    <w:basedOn w:val="Normal"/>
    <w:rsid w:val="00BE20D1"/>
    <w:rPr>
      <w:sz w:val="2"/>
      <w:szCs w:val="2"/>
    </w:rPr>
  </w:style>
  <w:style w:type="character" w:customStyle="1" w:styleId="Small">
    <w:name w:val="Small"/>
    <w:basedOn w:val="DefaultParagraphFont"/>
    <w:rsid w:val="00BE20D1"/>
    <w:rPr>
      <w:sz w:val="16"/>
    </w:rPr>
  </w:style>
  <w:style w:type="paragraph" w:customStyle="1" w:styleId="WideTable">
    <w:name w:val="Wide Table"/>
    <w:basedOn w:val="Normal"/>
    <w:rsid w:val="00BE20D1"/>
    <w:pPr>
      <w:ind w:left="-1418"/>
    </w:pPr>
    <w:rPr>
      <w:sz w:val="2"/>
      <w:szCs w:val="2"/>
    </w:rPr>
  </w:style>
  <w:style w:type="character" w:styleId="PageNumber">
    <w:name w:val="page number"/>
    <w:basedOn w:val="DefaultParagraphFont"/>
    <w:rsid w:val="00BE20D1"/>
  </w:style>
  <w:style w:type="paragraph" w:styleId="Quote">
    <w:name w:val="Quote"/>
    <w:basedOn w:val="Heading1"/>
    <w:link w:val="QuoteChar"/>
    <w:qFormat/>
    <w:rsid w:val="00BE20D1"/>
    <w:rPr>
      <w:b w:val="0"/>
      <w:sz w:val="72"/>
      <w:szCs w:val="72"/>
      <w:lang w:val="en-NZ"/>
    </w:rPr>
  </w:style>
  <w:style w:type="character" w:customStyle="1" w:styleId="QuoteChar">
    <w:name w:val="Quote Char"/>
    <w:basedOn w:val="DefaultParagraphFont"/>
    <w:link w:val="Quote"/>
    <w:rsid w:val="00BE2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0D1"/>
    <w:pPr>
      <w:pageBreakBefore/>
    </w:pPr>
  </w:style>
  <w:style w:type="paragraph" w:customStyle="1" w:styleId="Border">
    <w:name w:val="Border"/>
    <w:basedOn w:val="Normal"/>
    <w:qFormat/>
    <w:rsid w:val="00BE2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0D1"/>
    <w:rPr>
      <w:b/>
      <w:bCs/>
      <w:i/>
      <w:iCs/>
      <w:color w:val="auto"/>
    </w:rPr>
  </w:style>
  <w:style w:type="paragraph" w:styleId="IntenseQuote">
    <w:name w:val="Intense Quote"/>
    <w:basedOn w:val="Normal"/>
    <w:next w:val="Normal"/>
    <w:link w:val="IntenseQuoteChar"/>
    <w:uiPriority w:val="30"/>
    <w:qFormat/>
    <w:rsid w:val="00BE2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0D1"/>
    <w:rPr>
      <w:smallCaps/>
      <w:color w:val="auto"/>
      <w:u w:val="single"/>
    </w:rPr>
  </w:style>
  <w:style w:type="character" w:styleId="IntenseReference">
    <w:name w:val="Intense Reference"/>
    <w:basedOn w:val="DefaultParagraphFont"/>
    <w:uiPriority w:val="32"/>
    <w:qFormat/>
    <w:rsid w:val="00BE20D1"/>
    <w:rPr>
      <w:b/>
      <w:bCs/>
      <w:smallCaps/>
      <w:color w:val="auto"/>
      <w:spacing w:val="5"/>
      <w:u w:val="single"/>
    </w:rPr>
  </w:style>
  <w:style w:type="paragraph" w:customStyle="1" w:styleId="2ColumnHeading">
    <w:name w:val="2Column Heading"/>
    <w:basedOn w:val="BodyText"/>
    <w:qFormat/>
    <w:rsid w:val="00BE20D1"/>
    <w:pPr>
      <w:spacing w:after="60"/>
      <w:ind w:left="-2268"/>
    </w:pPr>
    <w:rPr>
      <w:b/>
    </w:rPr>
  </w:style>
  <w:style w:type="paragraph" w:customStyle="1" w:styleId="Heading1TOC">
    <w:name w:val="Heading1 TOC"/>
    <w:basedOn w:val="Normal"/>
    <w:qFormat/>
    <w:rsid w:val="00BE20D1"/>
    <w:pPr>
      <w:spacing w:before="240" w:after="120"/>
    </w:pPr>
    <w:rPr>
      <w:rFonts w:ascii="Times New Roman" w:hAnsi="Times New Roman"/>
      <w:b/>
      <w:sz w:val="32"/>
    </w:rPr>
  </w:style>
  <w:style w:type="paragraph" w:customStyle="1" w:styleId="Heading2TOC">
    <w:name w:val="Heading2 TOC"/>
    <w:basedOn w:val="Normal"/>
    <w:qFormat/>
    <w:rsid w:val="00BE20D1"/>
    <w:pPr>
      <w:spacing w:before="240" w:after="60"/>
    </w:pPr>
    <w:rPr>
      <w:rFonts w:ascii="Times New Roman" w:hAnsi="Times New Roman"/>
      <w:b/>
      <w:sz w:val="28"/>
    </w:rPr>
  </w:style>
  <w:style w:type="character" w:customStyle="1" w:styleId="Underline">
    <w:name w:val="Underline"/>
    <w:basedOn w:val="DefaultParagraphFont"/>
    <w:qFormat/>
    <w:rsid w:val="00BE20D1"/>
    <w:rPr>
      <w:u w:val="single"/>
    </w:rPr>
  </w:style>
  <w:style w:type="character" w:customStyle="1" w:styleId="BoldandItalics">
    <w:name w:val="Bold and Italics"/>
    <w:qFormat/>
    <w:rsid w:val="00BE20D1"/>
    <w:rPr>
      <w:b/>
      <w:i/>
      <w:u w:val="none"/>
    </w:rPr>
  </w:style>
  <w:style w:type="paragraph" w:styleId="BalloonText">
    <w:name w:val="Balloon Text"/>
    <w:basedOn w:val="Normal"/>
    <w:link w:val="BalloonTextChar"/>
    <w:rsid w:val="00BE20D1"/>
    <w:rPr>
      <w:rFonts w:ascii="Tahoma" w:hAnsi="Tahoma" w:cs="Tahoma"/>
      <w:sz w:val="16"/>
      <w:szCs w:val="16"/>
    </w:rPr>
  </w:style>
  <w:style w:type="character" w:customStyle="1" w:styleId="BalloonTextChar">
    <w:name w:val="Balloon Text Char"/>
    <w:basedOn w:val="DefaultParagraphFont"/>
    <w:link w:val="BalloonText"/>
    <w:rsid w:val="00BE2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0D1"/>
    <w:rPr>
      <w:b/>
      <w:color w:val="660033"/>
      <w:spacing w:val="0"/>
    </w:rPr>
  </w:style>
  <w:style w:type="paragraph" w:customStyle="1" w:styleId="Nameditemlist">
    <w:name w:val="Named item list"/>
    <w:basedOn w:val="BodyText"/>
    <w:qFormat/>
    <w:rsid w:val="00BE20D1"/>
    <w:pPr>
      <w:tabs>
        <w:tab w:val="left" w:pos="2835"/>
      </w:tabs>
      <w:ind w:left="2835" w:hanging="2835"/>
    </w:pPr>
  </w:style>
  <w:style w:type="paragraph" w:customStyle="1" w:styleId="BodyTextnopadding">
    <w:name w:val="Body Text no padding"/>
    <w:basedOn w:val="BodyText"/>
    <w:qFormat/>
    <w:rsid w:val="00BE20D1"/>
    <w:pPr>
      <w:spacing w:before="0" w:after="0"/>
    </w:pPr>
  </w:style>
  <w:style w:type="paragraph" w:customStyle="1" w:styleId="BodyTextBold">
    <w:name w:val="Body Text Bold"/>
    <w:basedOn w:val="BodyText"/>
    <w:qFormat/>
    <w:rsid w:val="00BE20D1"/>
    <w:rPr>
      <w:b/>
    </w:rPr>
  </w:style>
  <w:style w:type="character" w:styleId="Hyperlink">
    <w:name w:val="Hyperlink"/>
    <w:basedOn w:val="DefaultParagraphFont"/>
    <w:uiPriority w:val="99"/>
    <w:unhideWhenUsed/>
    <w:rsid w:val="007631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1324</Words>
  <Characters>8224</Characters>
  <Application>Microsoft Office Word</Application>
  <DocSecurity>0</DocSecurity>
  <Lines>205</Lines>
  <Paragraphs>151</Paragraphs>
  <ScaleCrop>false</ScaleCrop>
  <Company>Author-it Software Corporation Ltd.</Company>
  <LinksUpToDate>false</LinksUpToDate>
  <CharactersWithSpaces>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HLTAHW028 Provide information and strategies in chronic condition care</dc:title>
  <dc:subject>Approved</dc:subject>
  <dc:creator>SkillsIQ</dc:creator>
  <cp:keywords>Release: 2</cp:keywords>
  <dc:description>Review Date: 12 April 2008</dc:description>
  <cp:lastModifiedBy>HSD_TPCMSd.prod</cp:lastModifiedBy>
  <cp:revision>3</cp:revision>
  <dcterms:created xsi:type="dcterms:W3CDTF">2022-11-24T14:24:00Z</dcterms:created>
  <dcterms:modified xsi:type="dcterms:W3CDTF">2022-11-24T14:24:00Z</dcterms:modified>
</cp:coreProperties>
</file>