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63DA" w:rsidP="00CD63DA">
      <w:pPr>
        <w:pStyle w:val="Title"/>
      </w:pPr>
      <w:r>
        <w:fldChar w:fldCharType="begin"/>
      </w:r>
      <w:r>
        <w:instrText xml:space="preserve"> TITLE   \* MERGEFORMAT </w:instrText>
      </w:r>
      <w:r>
        <w:fldChar w:fldCharType="separate"/>
      </w:r>
      <w:r>
        <w:t>Assessment Requirements for HLTAHW020 Administer medications</w:t>
      </w:r>
      <w:r>
        <w:fldChar w:fldCharType="end"/>
      </w:r>
    </w:p>
    <w:p w:rsidR="00CD63DA" w:rsidP="00CD63DA">
      <w:pPr>
        <w:pStyle w:val="Version"/>
        <w:sectPr w:rsidSect="00DE42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E4261" w:rsidP="00DE4261">
      <w:pPr>
        <w:pStyle w:val="SuperHeading"/>
      </w:pPr>
      <w:r w:rsidRPr="00DE4261">
        <w:t>Assessment Requirements for HLTAHW020 Administer medications</w:t>
      </w:r>
    </w:p>
    <w:p w:rsidR="00000000" w:rsidRPr="00DE4261" w:rsidP="00DE4261">
      <w:pPr>
        <w:pStyle w:val="Heading1"/>
      </w:pPr>
      <w:bookmarkStart w:id="1" w:name="O_744922"/>
      <w:bookmarkEnd w:id="1"/>
      <w:r w:rsidRPr="00DE4261">
        <w:t>Modification History</w:t>
      </w:r>
    </w:p>
    <w:tbl>
      <w:tblPr>
        <w:tblW w:w="0" w:type="auto"/>
        <w:tblLayout w:type="fixed"/>
        <w:tblCellMar>
          <w:left w:w="62" w:type="dxa"/>
          <w:right w:w="62" w:type="dxa"/>
        </w:tblCellMar>
        <w:tblLook w:val="0000"/>
      </w:tblPr>
      <w:tblGrid>
        <w:gridCol w:w="3060"/>
        <w:gridCol w:w="6074"/>
      </w:tblGrid>
      <w:tr w:rsidTr="00DE4261">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E4261" w:rsidP="00DE4261">
            <w:pPr>
              <w:pStyle w:val="BodyText"/>
            </w:pPr>
            <w:r w:rsidRPr="00DE4261">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E4261">
            <w:pPr>
              <w:pStyle w:val="BodyText"/>
              <w:rPr>
                <w:lang w:val="en-NZ"/>
              </w:rPr>
            </w:pPr>
            <w:r w:rsidRPr="00DE4261">
              <w:rPr>
                <w:rStyle w:val="SpecialBold"/>
              </w:rPr>
              <w:t>Comments</w:t>
            </w:r>
          </w:p>
        </w:tc>
      </w:tr>
      <w:tr w:rsidTr="00DE426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E4261">
            <w:pPr>
              <w:pStyle w:val="BodyText"/>
              <w:rPr>
                <w:lang w:val="en-NZ"/>
              </w:rPr>
            </w:pPr>
            <w:r w:rsidRPr="00DE4261">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E4261" w:rsidP="00DE4261">
            <w:pPr>
              <w:pStyle w:val="BodyText"/>
            </w:pPr>
            <w:r w:rsidRPr="00DE4261">
              <w:t>Updated:</w:t>
            </w:r>
          </w:p>
          <w:p w:rsidR="00000000" w:rsidRPr="00DE4261" w:rsidP="00DE4261">
            <w:pPr>
              <w:pStyle w:val="ListBullet2"/>
            </w:pPr>
            <w:r w:rsidRPr="00DE4261">
              <w:t>assessor requirements statement</w:t>
            </w:r>
          </w:p>
          <w:p w:rsidR="00000000" w:rsidRPr="00DE4261" w:rsidP="00DE4261">
            <w:pPr>
              <w:pStyle w:val="ListBullet2"/>
            </w:pPr>
            <w:r w:rsidRPr="00DE4261">
              <w:t>foundation skills lead in statement</w:t>
            </w:r>
          </w:p>
          <w:p w:rsidR="00000000" w:rsidRPr="00DE4261" w:rsidP="00DE4261">
            <w:pPr>
              <w:pStyle w:val="ListBullet2"/>
            </w:pPr>
            <w:r w:rsidRPr="00DE4261">
              <w:t>licensing statement</w:t>
            </w:r>
          </w:p>
          <w:p w:rsidR="00000000" w:rsidRPr="00DE4261" w:rsidP="00DE4261">
            <w:pPr>
              <w:pStyle w:val="ListBullet2"/>
            </w:pPr>
            <w:r w:rsidRPr="00DE4261">
              <w:t>modification history to reflect 2012 standards</w:t>
            </w:r>
          </w:p>
          <w:p w:rsidR="00000000" w:rsidP="00DE4261">
            <w:pPr>
              <w:pStyle w:val="BodyText"/>
              <w:rPr>
                <w:lang w:val="en-NZ"/>
              </w:rPr>
            </w:pPr>
            <w:r w:rsidRPr="00DE4261">
              <w:t>Equivalent outcome.</w:t>
            </w:r>
          </w:p>
        </w:tc>
      </w:tr>
      <w:tr w:rsidTr="00DE426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E4261">
            <w:pPr>
              <w:pStyle w:val="BodyText"/>
              <w:rPr>
                <w:lang w:val="en-NZ"/>
              </w:rPr>
            </w:pPr>
            <w:r w:rsidRPr="00DE4261">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E4261" w:rsidP="00DE4261">
            <w:pPr>
              <w:pStyle w:val="BodyText"/>
            </w:pPr>
            <w:r w:rsidRPr="00DE4261">
              <w:t xml:space="preserve">This version was released in </w:t>
            </w:r>
            <w:r w:rsidRPr="00DE4261">
              <w:rPr>
                <w:rStyle w:val="Emphasis"/>
              </w:rPr>
              <w:t>HLT Health Training Package release 1.0</w:t>
            </w:r>
            <w:r w:rsidRPr="00DE4261">
              <w:t xml:space="preserve"> and meets the requirements of the 2012 Standards for Training Packages.</w:t>
            </w:r>
          </w:p>
          <w:p w:rsidR="00000000" w:rsidRPr="00DE4261" w:rsidP="00DE4261">
            <w:pPr>
              <w:pStyle w:val="BodyText"/>
            </w:pPr>
            <w:r w:rsidRPr="00DE4261">
              <w:t>Significant changes to elements and performance criteria.</w:t>
            </w:r>
            <w:r w:rsidRPr="00DE4261">
              <w:br/>
              <w:t>New evidence requirements for assessment, including volum</w:t>
            </w:r>
            <w:r w:rsidRPr="00DE4261">
              <w:t>e and environment requirements.</w:t>
            </w:r>
          </w:p>
        </w:tc>
      </w:tr>
    </w:tbl>
    <w:p w:rsidR="00000000" w:rsidRPr="00DE4261" w:rsidP="00DE4261">
      <w:pPr>
        <w:pStyle w:val="BodyText"/>
      </w:pPr>
    </w:p>
    <w:p w:rsidR="00000000" w:rsidRPr="00DE4261" w:rsidP="00DE4261">
      <w:pPr>
        <w:pStyle w:val="AllowPageBreak"/>
      </w:pPr>
    </w:p>
    <w:p w:rsidR="00000000" w:rsidRPr="00DE4261" w:rsidP="00DE4261">
      <w:pPr>
        <w:pStyle w:val="Heading1"/>
      </w:pPr>
      <w:bookmarkStart w:id="2" w:name="O_744921"/>
      <w:bookmarkEnd w:id="2"/>
      <w:r w:rsidRPr="00DE4261">
        <w:t>Performance Evidence</w:t>
      </w:r>
    </w:p>
    <w:p w:rsidR="00000000" w:rsidRPr="00DE4261" w:rsidP="00CD63DA">
      <w:pPr>
        <w:pStyle w:val="BodyText"/>
      </w:pPr>
      <w:r w:rsidRPr="00DE4261">
        <w:t>The candidate must show evidence of the ability to complete tasks outlined in elements and performance criteria of this unit, manage tasks and manage contingencies in the context of th</w:t>
      </w:r>
      <w:r w:rsidRPr="00DE4261">
        <w:t xml:space="preserve">e job role. </w:t>
      </w:r>
    </w:p>
    <w:p w:rsidR="00000000" w:rsidRPr="00DE4261" w:rsidP="00CD63DA">
      <w:pPr>
        <w:pStyle w:val="Heading3"/>
      </w:pPr>
      <w:r w:rsidRPr="00DE4261">
        <w:t>There must be evidence that the candidate has</w:t>
      </w:r>
    </w:p>
    <w:p w:rsidR="00000000" w:rsidRPr="00DE4261" w:rsidP="00DE4261">
      <w:pPr>
        <w:pStyle w:val="ListBullet"/>
      </w:pPr>
      <w:r w:rsidRPr="00DE4261">
        <w:t xml:space="preserve">administered medication by each of the following routes or methods at least once: </w:t>
      </w:r>
    </w:p>
    <w:p w:rsidR="00000000" w:rsidRPr="00DE4261" w:rsidP="00DE4261">
      <w:pPr>
        <w:pStyle w:val="List2"/>
      </w:pPr>
      <w:r>
        <w:t>•</w:t>
      </w:r>
      <w:r>
        <w:tab/>
      </w:r>
      <w:r w:rsidRPr="00DE4261">
        <w:t>oral</w:t>
      </w:r>
    </w:p>
    <w:p w:rsidR="00000000" w:rsidRPr="00DE4261" w:rsidP="00DE4261">
      <w:pPr>
        <w:pStyle w:val="List2"/>
      </w:pPr>
      <w:r>
        <w:t>•</w:t>
      </w:r>
      <w:r>
        <w:tab/>
      </w:r>
      <w:r w:rsidRPr="00DE4261">
        <w:t>sublingual/buccal</w:t>
      </w:r>
    </w:p>
    <w:p w:rsidR="00000000" w:rsidRPr="00DE4261" w:rsidP="00DE4261">
      <w:pPr>
        <w:pStyle w:val="List2"/>
      </w:pPr>
      <w:r>
        <w:t>•</w:t>
      </w:r>
      <w:r>
        <w:tab/>
      </w:r>
      <w:r w:rsidRPr="00DE4261">
        <w:t xml:space="preserve">dry powder inhalers </w:t>
      </w:r>
    </w:p>
    <w:p w:rsidR="00000000" w:rsidRPr="00DE4261" w:rsidP="00DE4261">
      <w:pPr>
        <w:pStyle w:val="List2"/>
      </w:pPr>
      <w:r>
        <w:t>•</w:t>
      </w:r>
      <w:r>
        <w:tab/>
      </w:r>
      <w:r w:rsidRPr="00DE4261">
        <w:t xml:space="preserve">metered dose/spacer inhalers </w:t>
      </w:r>
    </w:p>
    <w:p w:rsidR="00000000" w:rsidRPr="00DE4261" w:rsidP="00DE4261">
      <w:pPr>
        <w:pStyle w:val="List2"/>
      </w:pPr>
      <w:r>
        <w:t>•</w:t>
      </w:r>
      <w:r>
        <w:tab/>
      </w:r>
      <w:r w:rsidRPr="00DE4261">
        <w:t>nebulisers</w:t>
      </w:r>
    </w:p>
    <w:p w:rsidR="00000000" w:rsidRPr="00DE4261" w:rsidP="00DE4261">
      <w:pPr>
        <w:pStyle w:val="List2"/>
      </w:pPr>
      <w:r>
        <w:t>•</w:t>
      </w:r>
      <w:r>
        <w:tab/>
      </w:r>
      <w:r w:rsidRPr="00DE4261">
        <w:t>oxygen therapy</w:t>
      </w:r>
    </w:p>
    <w:p w:rsidR="00000000" w:rsidRPr="00DE4261" w:rsidP="00DE4261">
      <w:pPr>
        <w:pStyle w:val="List2"/>
      </w:pPr>
      <w:r>
        <w:t>•</w:t>
      </w:r>
      <w:r>
        <w:tab/>
      </w:r>
      <w:r w:rsidRPr="00DE4261">
        <w:t>topical medications</w:t>
      </w:r>
    </w:p>
    <w:p w:rsidR="00000000" w:rsidRPr="00DE4261" w:rsidP="00DE4261">
      <w:pPr>
        <w:pStyle w:val="List2"/>
      </w:pPr>
      <w:r>
        <w:t>•</w:t>
      </w:r>
      <w:r>
        <w:tab/>
      </w:r>
      <w:r w:rsidRPr="00DE4261">
        <w:t>suppositories</w:t>
      </w:r>
    </w:p>
    <w:p w:rsidR="00000000" w:rsidRPr="00DE4261" w:rsidP="00DE4261">
      <w:pPr>
        <w:pStyle w:val="List2"/>
      </w:pPr>
      <w:r>
        <w:t>•</w:t>
      </w:r>
      <w:r>
        <w:tab/>
      </w:r>
      <w:r w:rsidRPr="00DE4261">
        <w:t>subcutaneous injection</w:t>
      </w:r>
    </w:p>
    <w:p w:rsidR="00000000" w:rsidRPr="00DE4261" w:rsidP="00DE4261">
      <w:pPr>
        <w:pStyle w:val="List2"/>
      </w:pPr>
      <w:r>
        <w:t>•</w:t>
      </w:r>
      <w:r>
        <w:tab/>
      </w:r>
      <w:r w:rsidRPr="00DE4261">
        <w:t>intramuscular injections</w:t>
      </w:r>
    </w:p>
    <w:p w:rsidR="00000000" w:rsidRPr="00DE4261" w:rsidP="00DE4261">
      <w:pPr>
        <w:pStyle w:val="List2"/>
      </w:pPr>
      <w:r>
        <w:t>•</w:t>
      </w:r>
      <w:r>
        <w:tab/>
      </w:r>
      <w:r w:rsidRPr="00DE4261">
        <w:t>intravenous injections</w:t>
      </w:r>
    </w:p>
    <w:p w:rsidR="00000000" w:rsidRPr="00DE4261" w:rsidP="00DE4261">
      <w:pPr>
        <w:pStyle w:val="List2"/>
      </w:pPr>
      <w:r>
        <w:t>•</w:t>
      </w:r>
      <w:r>
        <w:tab/>
      </w:r>
      <w:r w:rsidRPr="00DE4261">
        <w:t>Z-track injections</w:t>
      </w:r>
    </w:p>
    <w:p w:rsidR="00000000" w:rsidRPr="00DE4261" w:rsidP="00DE4261">
      <w:pPr>
        <w:pStyle w:val="List2"/>
      </w:pPr>
      <w:r>
        <w:t>•</w:t>
      </w:r>
      <w:r>
        <w:tab/>
      </w:r>
      <w:r w:rsidRPr="00DE4261">
        <w:t>intravenous infusion/cannulation fluid</w:t>
      </w:r>
    </w:p>
    <w:p w:rsidR="00000000" w:rsidRPr="00DE4261" w:rsidP="00DE4261">
      <w:pPr>
        <w:pStyle w:val="ListBullet"/>
      </w:pPr>
      <w:r w:rsidRPr="00DE4261">
        <w:t>safely administered medication on at least three occasions to a range of clie</w:t>
      </w:r>
      <w:r w:rsidRPr="00DE4261">
        <w:t>nts across the lifespan by</w:t>
      </w:r>
    </w:p>
    <w:p w:rsidR="00000000" w:rsidRPr="00DE4261" w:rsidP="00DE4261">
      <w:pPr>
        <w:pStyle w:val="List2"/>
      </w:pPr>
      <w:r>
        <w:t>•</w:t>
      </w:r>
      <w:r>
        <w:tab/>
      </w:r>
      <w:r w:rsidRPr="00DE4261">
        <w:t>observing and applying the Six Rights of Medication, being:</w:t>
      </w:r>
    </w:p>
    <w:p w:rsidR="00000000" w:rsidRPr="00DE4261" w:rsidP="00DE4261">
      <w:pPr>
        <w:pStyle w:val="List3"/>
      </w:pPr>
      <w:r>
        <w:t>•</w:t>
      </w:r>
      <w:r>
        <w:tab/>
      </w:r>
      <w:r w:rsidRPr="00DE4261">
        <w:t>Right person</w:t>
      </w:r>
    </w:p>
    <w:p w:rsidR="00000000" w:rsidRPr="00DE4261" w:rsidP="00DE4261">
      <w:pPr>
        <w:pStyle w:val="List3"/>
      </w:pPr>
      <w:r>
        <w:t>•</w:t>
      </w:r>
      <w:r>
        <w:tab/>
      </w:r>
      <w:r w:rsidRPr="00DE4261">
        <w:t>Right dose</w:t>
      </w:r>
    </w:p>
    <w:p w:rsidR="00000000" w:rsidRPr="00DE4261" w:rsidP="00DE4261">
      <w:pPr>
        <w:pStyle w:val="List3"/>
      </w:pPr>
      <w:r>
        <w:t>•</w:t>
      </w:r>
      <w:r>
        <w:tab/>
      </w:r>
      <w:r w:rsidRPr="00DE4261">
        <w:t>Right route</w:t>
      </w:r>
    </w:p>
    <w:p w:rsidR="00000000" w:rsidRPr="00DE4261" w:rsidP="00DE4261">
      <w:pPr>
        <w:pStyle w:val="List3"/>
      </w:pPr>
      <w:r>
        <w:t>•</w:t>
      </w:r>
      <w:r>
        <w:tab/>
      </w:r>
      <w:r w:rsidRPr="00DE4261">
        <w:t>Right medication</w:t>
      </w:r>
    </w:p>
    <w:p w:rsidR="00000000" w:rsidRPr="00DE4261" w:rsidP="00DE4261">
      <w:pPr>
        <w:pStyle w:val="List3"/>
      </w:pPr>
      <w:r>
        <w:t>•</w:t>
      </w:r>
      <w:r>
        <w:tab/>
      </w:r>
      <w:r w:rsidRPr="00DE4261">
        <w:t xml:space="preserve">Right time </w:t>
      </w:r>
    </w:p>
    <w:p w:rsidR="00000000" w:rsidRPr="00DE4261" w:rsidP="00DE4261">
      <w:pPr>
        <w:pStyle w:val="List3"/>
      </w:pPr>
      <w:r>
        <w:t>•</w:t>
      </w:r>
      <w:r>
        <w:tab/>
      </w:r>
      <w:r w:rsidRPr="00DE4261">
        <w:t>Right documentation</w:t>
      </w:r>
    </w:p>
    <w:p w:rsidR="00000000" w:rsidRPr="00DE4261" w:rsidP="00DE4261">
      <w:pPr>
        <w:pStyle w:val="List2"/>
      </w:pPr>
      <w:r>
        <w:t>•</w:t>
      </w:r>
      <w:r>
        <w:tab/>
      </w:r>
      <w:r w:rsidRPr="00DE4261">
        <w:t>consulting and confirming actions with an authorised practitioner at all relevant times</w:t>
      </w:r>
    </w:p>
    <w:p w:rsidR="00000000" w:rsidRPr="00DE4261" w:rsidP="00DE4261">
      <w:pPr>
        <w:pStyle w:val="List2"/>
      </w:pPr>
      <w:r>
        <w:t>•</w:t>
      </w:r>
      <w:r>
        <w:tab/>
      </w:r>
      <w:r w:rsidRPr="00DE4261">
        <w:t>determining medication requirements, including:</w:t>
      </w:r>
    </w:p>
    <w:p w:rsidR="00000000" w:rsidRPr="00DE4261" w:rsidP="00DE4261">
      <w:pPr>
        <w:pStyle w:val="List3"/>
      </w:pPr>
      <w:r>
        <w:t>•</w:t>
      </w:r>
      <w:r>
        <w:tab/>
      </w:r>
      <w:r w:rsidRPr="00DE4261">
        <w:t>consulting client and other relevant support persons for medication history and allergies</w:t>
      </w:r>
    </w:p>
    <w:p w:rsidR="00000000" w:rsidRPr="00DE4261" w:rsidP="00DE4261">
      <w:pPr>
        <w:pStyle w:val="List3"/>
      </w:pPr>
      <w:r>
        <w:t>•</w:t>
      </w:r>
      <w:r>
        <w:tab/>
      </w:r>
      <w:r w:rsidRPr="00DE4261">
        <w:t>reviewing relevant d</w:t>
      </w:r>
      <w:r w:rsidRPr="00DE4261">
        <w:t>ocumentation</w:t>
      </w:r>
    </w:p>
    <w:p w:rsidR="00000000" w:rsidRPr="00DE4261" w:rsidP="00DE4261">
      <w:pPr>
        <w:pStyle w:val="List3"/>
      </w:pPr>
      <w:r>
        <w:t>•</w:t>
      </w:r>
      <w:r>
        <w:tab/>
      </w:r>
      <w:r w:rsidRPr="00DE4261">
        <w:t xml:space="preserve">identifying options, active ingredients, indications, contraindications, precautions, side effects, interactions of medications and accurate client information </w:t>
      </w:r>
    </w:p>
    <w:p w:rsidR="00000000" w:rsidRPr="00DE4261" w:rsidP="00DE4261">
      <w:pPr>
        <w:pStyle w:val="List3"/>
      </w:pPr>
      <w:r>
        <w:t>•</w:t>
      </w:r>
      <w:r>
        <w:tab/>
      </w:r>
      <w:r w:rsidRPr="00DE4261">
        <w:t>maintaining records of client medication</w:t>
      </w:r>
    </w:p>
    <w:p w:rsidR="00000000" w:rsidRPr="00DE4261" w:rsidP="00DE4261">
      <w:pPr>
        <w:pStyle w:val="List2"/>
      </w:pPr>
      <w:r>
        <w:t>•</w:t>
      </w:r>
      <w:r>
        <w:tab/>
      </w:r>
      <w:r w:rsidRPr="00DE4261">
        <w:t>interpreting orders and instructi</w:t>
      </w:r>
      <w:r w:rsidRPr="00DE4261">
        <w:t xml:space="preserve">ons for medication, including: </w:t>
      </w:r>
    </w:p>
    <w:p w:rsidR="00000000" w:rsidRPr="00DE4261" w:rsidP="00DE4261">
      <w:pPr>
        <w:pStyle w:val="List3"/>
      </w:pPr>
      <w:r>
        <w:t>•</w:t>
      </w:r>
      <w:r>
        <w:tab/>
      </w:r>
      <w:r w:rsidRPr="00DE4261">
        <w:t>receiving written and verbal orders and instructions from authorised persons/practitioners</w:t>
      </w:r>
    </w:p>
    <w:p w:rsidR="00000000" w:rsidRPr="00DE4261" w:rsidP="00DE4261">
      <w:pPr>
        <w:pStyle w:val="List3"/>
      </w:pPr>
      <w:r>
        <w:t>•</w:t>
      </w:r>
      <w:r>
        <w:tab/>
      </w:r>
      <w:r w:rsidRPr="00DE4261">
        <w:t>documenting orders and correctly interpreting them</w:t>
      </w:r>
    </w:p>
    <w:p w:rsidR="00000000" w:rsidRPr="00DE4261" w:rsidP="00DE4261">
      <w:pPr>
        <w:pStyle w:val="List3"/>
      </w:pPr>
      <w:r>
        <w:t>•</w:t>
      </w:r>
      <w:r>
        <w:tab/>
      </w:r>
      <w:r w:rsidRPr="00DE4261">
        <w:t>consulting medical practitioners and senior health staff for clarificatio</w:t>
      </w:r>
      <w:r w:rsidRPr="00DE4261">
        <w:t>n on medication instructions</w:t>
      </w:r>
    </w:p>
    <w:p w:rsidR="00000000" w:rsidRPr="00DE4261" w:rsidP="00DE4261">
      <w:pPr>
        <w:pStyle w:val="List2"/>
      </w:pPr>
      <w:r>
        <w:t>•</w:t>
      </w:r>
      <w:r>
        <w:tab/>
      </w:r>
      <w:r w:rsidRPr="00DE4261">
        <w:t>using published medication references and resources to where appropriate</w:t>
      </w:r>
    </w:p>
    <w:p w:rsidR="00000000" w:rsidRPr="00DE4261" w:rsidP="00DE4261">
      <w:pPr>
        <w:pStyle w:val="List2"/>
      </w:pPr>
      <w:r>
        <w:t>•</w:t>
      </w:r>
      <w:r>
        <w:tab/>
      </w:r>
      <w:r w:rsidRPr="00DE4261">
        <w:t>referring queries of potential drug interactions and contraindications to appropriate personnel</w:t>
      </w:r>
    </w:p>
    <w:p w:rsidR="00000000" w:rsidRPr="00DE4261" w:rsidP="00DE4261">
      <w:pPr>
        <w:pStyle w:val="List2"/>
      </w:pPr>
      <w:r>
        <w:t>•</w:t>
      </w:r>
      <w:r>
        <w:tab/>
      </w:r>
      <w:r w:rsidRPr="00DE4261">
        <w:t>where appropriate, supporting clients in their choic</w:t>
      </w:r>
      <w:r w:rsidRPr="00DE4261">
        <w:t xml:space="preserve">e, access to and use of traditional and western medications including: </w:t>
      </w:r>
    </w:p>
    <w:p w:rsidR="00000000" w:rsidRPr="00DE4261" w:rsidP="00DE4261">
      <w:pPr>
        <w:pStyle w:val="List3"/>
      </w:pPr>
      <w:r>
        <w:t>•</w:t>
      </w:r>
      <w:r>
        <w:tab/>
      </w:r>
      <w:r w:rsidRPr="00DE4261">
        <w:t>providing information to clients on mechanisms of action, dosing and possible side effects</w:t>
      </w:r>
    </w:p>
    <w:p w:rsidR="00000000" w:rsidRPr="00DE4261" w:rsidP="00DE4261">
      <w:pPr>
        <w:pStyle w:val="List3"/>
      </w:pPr>
      <w:r>
        <w:t>•</w:t>
      </w:r>
      <w:r>
        <w:tab/>
      </w:r>
      <w:r w:rsidRPr="00DE4261">
        <w:t>identifying, supporting and promoting traditional/bush medications and traditional heal</w:t>
      </w:r>
      <w:r w:rsidRPr="00DE4261">
        <w:t>ers</w:t>
      </w:r>
    </w:p>
    <w:p w:rsidR="00000000" w:rsidRPr="00DE4261" w:rsidP="00DE4261">
      <w:pPr>
        <w:pStyle w:val="List3"/>
      </w:pPr>
      <w:r>
        <w:t>•</w:t>
      </w:r>
      <w:r>
        <w:tab/>
      </w:r>
      <w:r w:rsidRPr="00DE4261">
        <w:t>providing and explaining Consumer Medications Information to clients</w:t>
      </w:r>
    </w:p>
    <w:p w:rsidR="00000000" w:rsidRPr="00DE4261" w:rsidP="00DE4261">
      <w:pPr>
        <w:pStyle w:val="List3"/>
      </w:pPr>
      <w:r>
        <w:t>•</w:t>
      </w:r>
      <w:r>
        <w:tab/>
      </w:r>
      <w:r w:rsidRPr="00DE4261">
        <w:t>instructing clients on self-administration of medications</w:t>
      </w:r>
    </w:p>
    <w:p w:rsidR="00CD63DA" w:rsidP="00DE4261">
      <w:pPr>
        <w:pStyle w:val="List2"/>
      </w:pPr>
      <w:r>
        <w:t>•</w:t>
      </w:r>
      <w:r>
        <w:tab/>
      </w:r>
      <w:r w:rsidRPr="00DE4261">
        <w:t>documenting administration of medication according to legislative requirements and organisation procedures and polici</w:t>
      </w:r>
      <w:r w:rsidRPr="00DE4261">
        <w:t xml:space="preserve">es. </w:t>
      </w:r>
    </w:p>
    <w:p w:rsidR="00CD63DA" w:rsidP="00DE4261">
      <w:pPr>
        <w:pStyle w:val="List2"/>
      </w:pPr>
    </w:p>
    <w:p w:rsidR="00000000" w:rsidRPr="00DE4261" w:rsidP="00DE4261">
      <w:pPr>
        <w:pStyle w:val="Heading1"/>
      </w:pPr>
      <w:bookmarkStart w:id="3" w:name="O_744920"/>
      <w:bookmarkEnd w:id="3"/>
      <w:r w:rsidRPr="00DE4261">
        <w:t>Knowledge Evidence</w:t>
      </w:r>
    </w:p>
    <w:p w:rsidR="00000000" w:rsidRPr="00DE4261" w:rsidP="00CD63DA">
      <w:pPr>
        <w:pStyle w:val="BodyText"/>
      </w:pPr>
      <w:r w:rsidRPr="00DE4261">
        <w:t xml:space="preserve">The candidate must be able to demonstrate essential knowledge required to effectively do the task outlined in elements and performance criteria of this unit, manage the task and manage contingencies in the context </w:t>
      </w:r>
      <w:r w:rsidRPr="00DE4261">
        <w:t>of the identified work role.</w:t>
      </w:r>
    </w:p>
    <w:p w:rsidR="00000000" w:rsidRPr="00DE4261" w:rsidP="00CD63DA">
      <w:pPr>
        <w:pStyle w:val="BodyText"/>
      </w:pPr>
      <w:r w:rsidRPr="00DE4261">
        <w:t>This includes knowledge of:</w:t>
      </w:r>
    </w:p>
    <w:p w:rsidR="00000000" w:rsidRPr="00DE4261" w:rsidP="00DE4261">
      <w:pPr>
        <w:pStyle w:val="ListBullet"/>
      </w:pPr>
      <w:r w:rsidRPr="00DE4261">
        <w:t>The Six Rights of Medication, being:</w:t>
      </w:r>
    </w:p>
    <w:p w:rsidR="00000000" w:rsidRPr="00DE4261" w:rsidP="00DE4261">
      <w:pPr>
        <w:pStyle w:val="List2"/>
      </w:pPr>
      <w:r>
        <w:t>•</w:t>
      </w:r>
      <w:r>
        <w:tab/>
      </w:r>
      <w:r w:rsidRPr="00DE4261">
        <w:t>Right person</w:t>
      </w:r>
    </w:p>
    <w:p w:rsidR="00000000" w:rsidRPr="00DE4261" w:rsidP="00DE4261">
      <w:pPr>
        <w:pStyle w:val="List2"/>
      </w:pPr>
      <w:r>
        <w:t>•</w:t>
      </w:r>
      <w:r>
        <w:tab/>
      </w:r>
      <w:r w:rsidRPr="00DE4261">
        <w:t>Right dose</w:t>
      </w:r>
    </w:p>
    <w:p w:rsidR="00000000" w:rsidRPr="00DE4261" w:rsidP="00DE4261">
      <w:pPr>
        <w:pStyle w:val="List2"/>
      </w:pPr>
      <w:r>
        <w:t>•</w:t>
      </w:r>
      <w:r>
        <w:tab/>
      </w:r>
      <w:r w:rsidRPr="00DE4261">
        <w:t>Right route</w:t>
      </w:r>
    </w:p>
    <w:p w:rsidR="00000000" w:rsidRPr="00DE4261" w:rsidP="00DE4261">
      <w:pPr>
        <w:pStyle w:val="List2"/>
      </w:pPr>
      <w:r>
        <w:t>•</w:t>
      </w:r>
      <w:r>
        <w:tab/>
      </w:r>
      <w:r w:rsidRPr="00DE4261">
        <w:t>Right medication</w:t>
      </w:r>
    </w:p>
    <w:p w:rsidR="00000000" w:rsidRPr="00DE4261" w:rsidP="00DE4261">
      <w:pPr>
        <w:pStyle w:val="List2"/>
      </w:pPr>
      <w:r>
        <w:t>•</w:t>
      </w:r>
      <w:r>
        <w:tab/>
      </w:r>
      <w:r w:rsidRPr="00DE4261">
        <w:t xml:space="preserve">Right time </w:t>
      </w:r>
    </w:p>
    <w:p w:rsidR="00000000" w:rsidRPr="00DE4261" w:rsidP="00DE4261">
      <w:pPr>
        <w:pStyle w:val="List2"/>
      </w:pPr>
      <w:r>
        <w:t>•</w:t>
      </w:r>
      <w:r>
        <w:tab/>
      </w:r>
      <w:r w:rsidRPr="00DE4261">
        <w:t>Right documentation</w:t>
      </w:r>
    </w:p>
    <w:p w:rsidR="00000000" w:rsidRPr="00DE4261" w:rsidP="00DE4261">
      <w:pPr>
        <w:pStyle w:val="ListBullet"/>
      </w:pPr>
      <w:r w:rsidRPr="00DE4261">
        <w:t>differences between generic and trade names for medication</w:t>
      </w:r>
    </w:p>
    <w:p w:rsidR="00000000" w:rsidRPr="00DE4261" w:rsidP="00DE4261">
      <w:pPr>
        <w:pStyle w:val="ListBullet"/>
      </w:pPr>
      <w:r w:rsidRPr="00DE4261">
        <w:t>application of standard and additional precautions in the administration of medications</w:t>
      </w:r>
    </w:p>
    <w:p w:rsidR="00000000" w:rsidRPr="00DE4261" w:rsidP="00DE4261">
      <w:pPr>
        <w:pStyle w:val="ListBullet"/>
      </w:pPr>
      <w:r w:rsidRPr="00DE4261">
        <w:t>awareness and application of infection control and sterile environment policies and procedures</w:t>
      </w:r>
    </w:p>
    <w:p w:rsidR="00000000" w:rsidRPr="00DE4261" w:rsidP="00DE4261">
      <w:pPr>
        <w:pStyle w:val="ListBullet"/>
      </w:pPr>
      <w:r w:rsidRPr="00DE4261">
        <w:t>understanding of medication commonly used and effects on the body</w:t>
      </w:r>
    </w:p>
    <w:p w:rsidR="00000000" w:rsidRPr="00DE4261" w:rsidP="00DE4261">
      <w:pPr>
        <w:pStyle w:val="ListBullet"/>
      </w:pPr>
      <w:r w:rsidRPr="00DE4261">
        <w:t>pathoph</w:t>
      </w:r>
      <w:r w:rsidRPr="00DE4261">
        <w:t>ysiology associated with these systems, including acute chronic condition and conditions associated with a specific body system</w:t>
      </w:r>
    </w:p>
    <w:p w:rsidR="00000000" w:rsidRPr="00DE4261" w:rsidP="00DE4261">
      <w:pPr>
        <w:pStyle w:val="ListBullet"/>
      </w:pPr>
      <w:r w:rsidRPr="00DE4261">
        <w:t>pharmacology to address pathophysiology, including:</w:t>
      </w:r>
    </w:p>
    <w:p w:rsidR="00000000" w:rsidRPr="00DE4261" w:rsidP="00DE4261">
      <w:pPr>
        <w:pStyle w:val="List2"/>
      </w:pPr>
      <w:r>
        <w:t>•</w:t>
      </w:r>
      <w:r>
        <w:tab/>
      </w:r>
      <w:r w:rsidRPr="00DE4261">
        <w:t>antibiotics</w:t>
      </w:r>
    </w:p>
    <w:p w:rsidR="00000000" w:rsidRPr="00DE4261" w:rsidP="00DE4261">
      <w:pPr>
        <w:pStyle w:val="List2"/>
      </w:pPr>
      <w:r>
        <w:t>•</w:t>
      </w:r>
      <w:r>
        <w:tab/>
      </w:r>
      <w:r w:rsidRPr="00DE4261">
        <w:t>analgesics</w:t>
      </w:r>
    </w:p>
    <w:p w:rsidR="00000000" w:rsidRPr="00DE4261" w:rsidP="00DE4261">
      <w:pPr>
        <w:pStyle w:val="List2"/>
      </w:pPr>
      <w:r>
        <w:t>•</w:t>
      </w:r>
      <w:r>
        <w:tab/>
      </w:r>
      <w:r w:rsidRPr="00DE4261">
        <w:t xml:space="preserve">contra indications </w:t>
      </w:r>
    </w:p>
    <w:p w:rsidR="00000000" w:rsidRPr="00DE4261" w:rsidP="00DE4261">
      <w:pPr>
        <w:pStyle w:val="List2"/>
      </w:pPr>
      <w:r>
        <w:t>•</w:t>
      </w:r>
      <w:r>
        <w:tab/>
      </w:r>
      <w:r w:rsidRPr="00DE4261">
        <w:t>complications</w:t>
      </w:r>
    </w:p>
    <w:p w:rsidR="00000000" w:rsidRPr="00DE4261" w:rsidP="00DE4261">
      <w:pPr>
        <w:pStyle w:val="List2"/>
      </w:pPr>
      <w:r>
        <w:t>•</w:t>
      </w:r>
      <w:r>
        <w:tab/>
      </w:r>
      <w:r w:rsidRPr="00DE4261">
        <w:t>psychiatr</w:t>
      </w:r>
      <w:r w:rsidRPr="00DE4261">
        <w:t>ic medications</w:t>
      </w:r>
    </w:p>
    <w:p w:rsidR="00000000" w:rsidRPr="00DE4261" w:rsidP="00DE4261">
      <w:pPr>
        <w:pStyle w:val="List2"/>
      </w:pPr>
      <w:r>
        <w:t>•</w:t>
      </w:r>
      <w:r>
        <w:tab/>
      </w:r>
      <w:r w:rsidRPr="00DE4261">
        <w:t xml:space="preserve">oral hypoglycaemics </w:t>
      </w:r>
    </w:p>
    <w:p w:rsidR="00000000" w:rsidRPr="00DE4261" w:rsidP="00DE4261">
      <w:pPr>
        <w:pStyle w:val="List2"/>
      </w:pPr>
      <w:r>
        <w:t>•</w:t>
      </w:r>
      <w:r>
        <w:tab/>
      </w:r>
      <w:r w:rsidRPr="00DE4261">
        <w:t>insulin</w:t>
      </w:r>
    </w:p>
    <w:p w:rsidR="00000000" w:rsidRPr="00DE4261" w:rsidP="00DE4261">
      <w:pPr>
        <w:pStyle w:val="ListBullet"/>
      </w:pPr>
      <w:r w:rsidRPr="00DE4261">
        <w:t>awareness of reaction to medication administration, including:</w:t>
      </w:r>
    </w:p>
    <w:p w:rsidR="00000000" w:rsidRPr="00DE4261" w:rsidP="00DE4261">
      <w:pPr>
        <w:pStyle w:val="List2"/>
      </w:pPr>
      <w:r>
        <w:t>•</w:t>
      </w:r>
      <w:r>
        <w:tab/>
      </w:r>
      <w:r w:rsidRPr="00DE4261">
        <w:t>indications</w:t>
      </w:r>
    </w:p>
    <w:p w:rsidR="00000000" w:rsidRPr="00DE4261" w:rsidP="00DE4261">
      <w:pPr>
        <w:pStyle w:val="List2"/>
      </w:pPr>
      <w:r>
        <w:t>•</w:t>
      </w:r>
      <w:r>
        <w:tab/>
      </w:r>
      <w:r w:rsidRPr="00DE4261">
        <w:t>contraindications</w:t>
      </w:r>
    </w:p>
    <w:p w:rsidR="00000000" w:rsidRPr="00DE4261" w:rsidP="00DE4261">
      <w:pPr>
        <w:pStyle w:val="List2"/>
      </w:pPr>
      <w:r>
        <w:t>•</w:t>
      </w:r>
      <w:r>
        <w:tab/>
      </w:r>
      <w:r w:rsidRPr="00DE4261">
        <w:t>complications</w:t>
      </w:r>
    </w:p>
    <w:p w:rsidR="00000000" w:rsidRPr="00DE4261" w:rsidP="00DE4261">
      <w:pPr>
        <w:pStyle w:val="List2"/>
      </w:pPr>
      <w:r>
        <w:t>•</w:t>
      </w:r>
      <w:r>
        <w:tab/>
      </w:r>
      <w:r w:rsidRPr="00DE4261">
        <w:t>adverse effects</w:t>
      </w:r>
    </w:p>
    <w:p w:rsidR="00000000" w:rsidRPr="00DE4261" w:rsidP="00DE4261">
      <w:pPr>
        <w:pStyle w:val="List2"/>
      </w:pPr>
      <w:r>
        <w:t>•</w:t>
      </w:r>
      <w:r>
        <w:tab/>
      </w:r>
      <w:r w:rsidRPr="00DE4261">
        <w:t>interactions</w:t>
      </w:r>
    </w:p>
    <w:p w:rsidR="00000000" w:rsidRPr="00DE4261" w:rsidP="00DE4261">
      <w:pPr>
        <w:pStyle w:val="ListBullet"/>
      </w:pPr>
      <w:r w:rsidRPr="00DE4261">
        <w:t>presenting symptoms and signs that may impact on medication administration, including:</w:t>
      </w:r>
    </w:p>
    <w:p w:rsidR="00000000" w:rsidRPr="00DE4261" w:rsidP="00DE4261">
      <w:pPr>
        <w:pStyle w:val="List2"/>
      </w:pPr>
      <w:r>
        <w:t>•</w:t>
      </w:r>
      <w:r>
        <w:tab/>
      </w:r>
      <w:r w:rsidRPr="00DE4261">
        <w:t>bruising, swelling, cuts and abrasions</w:t>
      </w:r>
    </w:p>
    <w:p w:rsidR="00000000" w:rsidRPr="00DE4261" w:rsidP="00DE4261">
      <w:pPr>
        <w:pStyle w:val="List2"/>
      </w:pPr>
      <w:r>
        <w:t>•</w:t>
      </w:r>
      <w:r>
        <w:tab/>
      </w:r>
      <w:r w:rsidRPr="00DE4261">
        <w:t>appearance of eyes, ears, mouth and gums</w:t>
      </w:r>
    </w:p>
    <w:p w:rsidR="00000000" w:rsidRPr="00DE4261" w:rsidP="00DE4261">
      <w:pPr>
        <w:pStyle w:val="List2"/>
      </w:pPr>
      <w:r>
        <w:t>•</w:t>
      </w:r>
      <w:r>
        <w:tab/>
      </w:r>
      <w:r w:rsidRPr="00DE4261">
        <w:t>blood pressure, respirations and temperature</w:t>
      </w:r>
    </w:p>
    <w:p w:rsidR="00000000" w:rsidRPr="00DE4261" w:rsidP="00DE4261">
      <w:pPr>
        <w:pStyle w:val="List2"/>
      </w:pPr>
      <w:r>
        <w:t>•</w:t>
      </w:r>
      <w:r>
        <w:tab/>
      </w:r>
      <w:r w:rsidRPr="00DE4261">
        <w:t>emotional and mental state</w:t>
      </w:r>
    </w:p>
    <w:p w:rsidR="00000000" w:rsidRPr="00DE4261" w:rsidP="00DE4261">
      <w:pPr>
        <w:pStyle w:val="ListBullet"/>
      </w:pPr>
      <w:r w:rsidRPr="00DE4261">
        <w:t xml:space="preserve">correct </w:t>
      </w:r>
      <w:r w:rsidRPr="00DE4261">
        <w:t>techniques for medication preparation and administration for adults and children by the following routes or methods:</w:t>
      </w:r>
    </w:p>
    <w:p w:rsidR="00000000" w:rsidRPr="00DE4261" w:rsidP="00DE4261">
      <w:pPr>
        <w:pStyle w:val="List2"/>
      </w:pPr>
      <w:r>
        <w:t>•</w:t>
      </w:r>
      <w:r>
        <w:tab/>
      </w:r>
      <w:r w:rsidRPr="00DE4261">
        <w:t>oral medication, including counting of tablets, preparation of syrups using graduated measure and/or syringes, Webster Packs, scored tabl</w:t>
      </w:r>
      <w:r w:rsidRPr="00DE4261">
        <w:t>ets, cutting devices and dosette boxes</w:t>
      </w:r>
    </w:p>
    <w:p w:rsidR="00000000" w:rsidRPr="00DE4261" w:rsidP="00DE4261">
      <w:pPr>
        <w:pStyle w:val="List2"/>
      </w:pPr>
      <w:r>
        <w:t>•</w:t>
      </w:r>
      <w:r>
        <w:tab/>
      </w:r>
      <w:r w:rsidRPr="00DE4261">
        <w:t>sublingual/buccal, including usage of unopened and dated medication</w:t>
      </w:r>
    </w:p>
    <w:p w:rsidR="00000000" w:rsidRPr="00DE4261" w:rsidP="00DE4261">
      <w:pPr>
        <w:pStyle w:val="List2"/>
      </w:pPr>
      <w:r>
        <w:t>•</w:t>
      </w:r>
      <w:r>
        <w:tab/>
      </w:r>
      <w:r w:rsidRPr="00DE4261">
        <w:t xml:space="preserve">dry powder, metered dose and spacer inhalers, including operation of accuhalers and aerolisers </w:t>
      </w:r>
    </w:p>
    <w:p w:rsidR="00000000" w:rsidRPr="00DE4261" w:rsidP="00DE4261">
      <w:pPr>
        <w:pStyle w:val="List2"/>
      </w:pPr>
      <w:r>
        <w:t>•</w:t>
      </w:r>
      <w:r>
        <w:tab/>
      </w:r>
      <w:r w:rsidRPr="00DE4261">
        <w:t>nebulisers and oxygen therapy, including select</w:t>
      </w:r>
      <w:r w:rsidRPr="00DE4261">
        <w:t>ion of appropriate equipment selection (oxygen cylinder or air pump)</w:t>
      </w:r>
    </w:p>
    <w:p w:rsidR="00000000" w:rsidRPr="00DE4261" w:rsidP="00DE4261">
      <w:pPr>
        <w:pStyle w:val="List2"/>
      </w:pPr>
      <w:r>
        <w:t>•</w:t>
      </w:r>
      <w:r>
        <w:tab/>
      </w:r>
      <w:r w:rsidRPr="00DE4261">
        <w:t xml:space="preserve">topical and transdermal medications, including prevention of self absorption </w:t>
      </w:r>
    </w:p>
    <w:p w:rsidR="00000000" w:rsidRPr="00DE4261" w:rsidP="00DE4261">
      <w:pPr>
        <w:pStyle w:val="List2"/>
      </w:pPr>
      <w:r>
        <w:t>•</w:t>
      </w:r>
      <w:r>
        <w:tab/>
      </w:r>
      <w:r w:rsidRPr="00DE4261">
        <w:t>suppositories, including use of lubricant and client positioning</w:t>
      </w:r>
    </w:p>
    <w:p w:rsidR="00000000" w:rsidRPr="00DE4261" w:rsidP="00DE4261">
      <w:pPr>
        <w:pStyle w:val="List2"/>
      </w:pPr>
      <w:r>
        <w:t>•</w:t>
      </w:r>
      <w:r>
        <w:tab/>
      </w:r>
      <w:r w:rsidRPr="00DE4261">
        <w:t>subcutaneous injections, including pre</w:t>
      </w:r>
      <w:r w:rsidRPr="00DE4261">
        <w:t>paration of syringe and angle degree for insertion</w:t>
      </w:r>
    </w:p>
    <w:p w:rsidR="00000000" w:rsidRPr="00DE4261" w:rsidP="00DE4261">
      <w:pPr>
        <w:pStyle w:val="List2"/>
      </w:pPr>
      <w:r>
        <w:t>•</w:t>
      </w:r>
      <w:r>
        <w:tab/>
      </w:r>
      <w:r w:rsidRPr="00DE4261">
        <w:t>intramuscular and Z-track injections, including correct sites for babies, children and adults for injection, preparation of syringe and angle degree for insertion</w:t>
      </w:r>
    </w:p>
    <w:p w:rsidR="00000000" w:rsidRPr="00DE4261" w:rsidP="00DE4261">
      <w:pPr>
        <w:pStyle w:val="List2"/>
      </w:pPr>
      <w:r>
        <w:t>•</w:t>
      </w:r>
      <w:r>
        <w:tab/>
      </w:r>
      <w:r w:rsidRPr="00DE4261">
        <w:t>intravenous injections, infusion/cannu</w:t>
      </w:r>
      <w:r w:rsidRPr="00DE4261">
        <w:t>lation including required equipment, inspection and preparation of cannula site, and follow up observation</w:t>
      </w:r>
    </w:p>
    <w:p w:rsidR="00000000" w:rsidRPr="00DE4261" w:rsidP="00DE4261">
      <w:pPr>
        <w:pStyle w:val="List2"/>
      </w:pPr>
      <w:r>
        <w:t>•</w:t>
      </w:r>
      <w:r>
        <w:tab/>
      </w:r>
      <w:r w:rsidRPr="00DE4261">
        <w:t>management of cold chain medications including differences between and use of purpose built vaccine and domestic refrigerators, transport and storage</w:t>
      </w:r>
    </w:p>
    <w:p w:rsidR="00000000" w:rsidRPr="00DE4261" w:rsidP="00DE4261">
      <w:pPr>
        <w:pStyle w:val="List2"/>
      </w:pPr>
      <w:r>
        <w:t>•</w:t>
      </w:r>
      <w:r>
        <w:tab/>
      </w:r>
      <w:r w:rsidRPr="00DE4261">
        <w:t>anaphylaxis management, including checking for signs of moderate or severe anaphylaxis and possible ca</w:t>
      </w:r>
      <w:r w:rsidRPr="00DE4261">
        <w:t>uses</w:t>
      </w:r>
    </w:p>
    <w:p w:rsidR="00000000" w:rsidRPr="00DE4261" w:rsidP="00DE4261">
      <w:pPr>
        <w:pStyle w:val="ListBullet"/>
      </w:pPr>
      <w:r w:rsidRPr="00DE4261">
        <w:t>organisational, legislative and regulatory requirements for transport, storage, use, dispensing and safe disposal of medications</w:t>
      </w:r>
    </w:p>
    <w:p w:rsidR="00000000" w:rsidRPr="00DE4261" w:rsidP="00DE4261">
      <w:pPr>
        <w:pStyle w:val="ListBullet"/>
      </w:pPr>
      <w:r w:rsidRPr="00DE4261">
        <w:t>different methods of medication administration and reactions for adults and children</w:t>
      </w:r>
    </w:p>
    <w:p w:rsidR="00000000" w:rsidRPr="00DE4261" w:rsidP="00DE4261">
      <w:pPr>
        <w:pStyle w:val="ListBullet"/>
      </w:pPr>
      <w:r w:rsidRPr="00DE4261">
        <w:t>requirements of the Pharmaceutical B</w:t>
      </w:r>
      <w:r w:rsidRPr="00DE4261">
        <w:t>enefits Scheme (PBS)</w:t>
      </w:r>
    </w:p>
    <w:p w:rsidR="00000000" w:rsidRPr="00DE4261" w:rsidP="00DE4261">
      <w:pPr>
        <w:pStyle w:val="ListBullet"/>
      </w:pPr>
      <w:r w:rsidRPr="00DE4261">
        <w:t>Quality Use of Medicines and the Consumer Medication Information</w:t>
      </w:r>
    </w:p>
    <w:p w:rsidR="00000000" w:rsidRPr="00DE4261" w:rsidP="00DE4261">
      <w:pPr>
        <w:pStyle w:val="ListBullet"/>
      </w:pPr>
      <w:r w:rsidRPr="00DE4261">
        <w:t>National Medication access and review initiatives for Aboriginal/Torres Strait Islander people</w:t>
      </w:r>
    </w:p>
    <w:p w:rsidR="00000000" w:rsidRPr="00DE4261" w:rsidP="00DE4261">
      <w:pPr>
        <w:pStyle w:val="ListBullet"/>
      </w:pPr>
      <w:r w:rsidRPr="00DE4261">
        <w:t>special considerations in use of medications, including:</w:t>
      </w:r>
    </w:p>
    <w:p w:rsidR="00000000" w:rsidRPr="00DE4261" w:rsidP="00DE4261">
      <w:pPr>
        <w:pStyle w:val="List2"/>
      </w:pPr>
      <w:r>
        <w:t>•</w:t>
      </w:r>
      <w:r>
        <w:tab/>
      </w:r>
      <w:r w:rsidRPr="00DE4261">
        <w:t>complicating fac</w:t>
      </w:r>
      <w:r w:rsidRPr="00DE4261">
        <w:t>tors of chronic illness</w:t>
      </w:r>
    </w:p>
    <w:p w:rsidR="00000000" w:rsidRPr="00DE4261" w:rsidP="00DE4261">
      <w:pPr>
        <w:pStyle w:val="List2"/>
      </w:pPr>
      <w:r>
        <w:t>•</w:t>
      </w:r>
      <w:r>
        <w:tab/>
      </w:r>
      <w:r w:rsidRPr="00DE4261">
        <w:t>pregnancy and lactation</w:t>
      </w:r>
    </w:p>
    <w:p w:rsidR="00000000" w:rsidRPr="00DE4261" w:rsidP="00DE4261">
      <w:pPr>
        <w:pStyle w:val="List2"/>
      </w:pPr>
      <w:r>
        <w:t>•</w:t>
      </w:r>
      <w:r>
        <w:tab/>
      </w:r>
      <w:r w:rsidRPr="00DE4261">
        <w:t>renal impairment</w:t>
      </w:r>
    </w:p>
    <w:p w:rsidR="00000000" w:rsidRPr="00DE4261" w:rsidP="00DE4261">
      <w:pPr>
        <w:pStyle w:val="List2"/>
      </w:pPr>
      <w:r>
        <w:t>•</w:t>
      </w:r>
      <w:r>
        <w:tab/>
      </w:r>
      <w:r w:rsidRPr="00DE4261">
        <w:t>anti-coagulant therapy</w:t>
      </w:r>
    </w:p>
    <w:p w:rsidR="00000000" w:rsidRPr="00DE4261" w:rsidP="00DE4261">
      <w:pPr>
        <w:pStyle w:val="List2"/>
      </w:pPr>
      <w:r>
        <w:t>•</w:t>
      </w:r>
      <w:r>
        <w:tab/>
      </w:r>
      <w:r w:rsidRPr="00DE4261">
        <w:t>potential drug interactions</w:t>
      </w:r>
    </w:p>
    <w:p w:rsidR="00000000" w:rsidRPr="00DE4261" w:rsidP="00DE4261">
      <w:pPr>
        <w:pStyle w:val="List2"/>
      </w:pPr>
      <w:r>
        <w:t>•</w:t>
      </w:r>
      <w:r>
        <w:tab/>
      </w:r>
      <w:r w:rsidRPr="00DE4261">
        <w:t>babies, children, adults and the elderly</w:t>
      </w:r>
    </w:p>
    <w:p w:rsidR="00000000" w:rsidRPr="00DE4261" w:rsidP="00DE4261">
      <w:pPr>
        <w:pStyle w:val="List2"/>
      </w:pPr>
      <w:r>
        <w:t>•</w:t>
      </w:r>
      <w:r>
        <w:tab/>
      </w:r>
      <w:r w:rsidRPr="00DE4261">
        <w:t>informed consent and understanding of the client</w:t>
      </w:r>
    </w:p>
    <w:p w:rsidR="00000000" w:rsidRPr="00DE4261" w:rsidP="00DE4261">
      <w:pPr>
        <w:pStyle w:val="ListBullet"/>
      </w:pPr>
      <w:r w:rsidRPr="00DE4261">
        <w:t>types of locally available/used tradi</w:t>
      </w:r>
      <w:r w:rsidRPr="00DE4261">
        <w:t>tional bush medications and their uses, benefits, side effects and interaction with other medications</w:t>
      </w:r>
    </w:p>
    <w:p w:rsidR="00000000" w:rsidRPr="00DE4261" w:rsidP="00DE4261">
      <w:pPr>
        <w:pStyle w:val="ListBullet"/>
      </w:pPr>
      <w:r w:rsidRPr="00DE4261">
        <w:t>complementary roles of traditional or bush healers</w:t>
      </w:r>
    </w:p>
    <w:p w:rsidR="00000000" w:rsidRPr="00DE4261" w:rsidP="00DE4261">
      <w:pPr>
        <w:pStyle w:val="AllowPageBreak"/>
      </w:pPr>
    </w:p>
    <w:p w:rsidR="00000000" w:rsidRPr="00DE4261" w:rsidP="00DE4261">
      <w:pPr>
        <w:pStyle w:val="Heading1"/>
      </w:pPr>
      <w:bookmarkStart w:id="4" w:name="O_744919"/>
      <w:bookmarkEnd w:id="4"/>
      <w:r w:rsidRPr="00DE4261">
        <w:t>Assessment Conditions</w:t>
      </w:r>
    </w:p>
    <w:p w:rsidR="00000000" w:rsidRPr="00DE4261" w:rsidP="00CD63DA">
      <w:pPr>
        <w:pStyle w:val="BodyText"/>
      </w:pPr>
      <w:r w:rsidRPr="00DE4261">
        <w:t>Unless state or territory legislation prevents practice in the w</w:t>
      </w:r>
      <w:r w:rsidRPr="00DE4261">
        <w:t>orkplace, skills must be demonstrated working</w:t>
      </w:r>
    </w:p>
    <w:p w:rsidR="00000000" w:rsidRPr="00DE4261" w:rsidP="00DE4261">
      <w:pPr>
        <w:pStyle w:val="ListBullet"/>
      </w:pPr>
      <w:r w:rsidRPr="00DE4261">
        <w:t>in a health service or centre</w:t>
      </w:r>
    </w:p>
    <w:p w:rsidR="00000000" w:rsidRPr="00DE4261" w:rsidP="00DE4261">
      <w:pPr>
        <w:pStyle w:val="ListBullet"/>
      </w:pPr>
      <w:r w:rsidRPr="00DE4261">
        <w:t xml:space="preserve">as part of a multi-disciplinary primary health care team </w:t>
      </w:r>
    </w:p>
    <w:p w:rsidR="00000000" w:rsidRPr="00DE4261" w:rsidP="00DE4261">
      <w:pPr>
        <w:pStyle w:val="ListBullet"/>
      </w:pPr>
      <w:r w:rsidRPr="00DE4261">
        <w:t xml:space="preserve">with Aboriginal and/or Torres Strait Islander clients and communities. </w:t>
      </w:r>
    </w:p>
    <w:p w:rsidR="00000000" w:rsidRPr="00DE4261" w:rsidP="00DE4261">
      <w:pPr>
        <w:pStyle w:val="BodyText"/>
      </w:pPr>
    </w:p>
    <w:p w:rsidR="00000000" w:rsidRPr="00DE4261" w:rsidP="00CD63DA">
      <w:pPr>
        <w:pStyle w:val="BodyText"/>
      </w:pPr>
      <w:r w:rsidRPr="00DE4261">
        <w:t xml:space="preserve">Note: Where state or territory legislation prevents practice in the workplace, simulated assessment environments may only be used in place of workplace assessment. </w:t>
      </w:r>
    </w:p>
    <w:p w:rsidR="00000000" w:rsidRPr="00DE4261" w:rsidP="00CD63DA">
      <w:pPr>
        <w:pStyle w:val="BodyText"/>
      </w:pPr>
      <w:r w:rsidRPr="00DE4261">
        <w:t>In addition, simulations and scenarios must be used where the full range of contexts and s</w:t>
      </w:r>
      <w:r w:rsidRPr="00DE4261">
        <w:t xml:space="preserve">ituations cannot be provided in the workplace or may occur only rarely. These are situations relating to emergency or unplanned procedures where assessment in these circumstances would be unsafe or is impractical. </w:t>
      </w:r>
    </w:p>
    <w:p w:rsidR="00000000" w:rsidRPr="00DE4261" w:rsidP="00CD63DA">
      <w:pPr>
        <w:pStyle w:val="BodyText"/>
      </w:pPr>
      <w:r w:rsidRPr="00DE4261">
        <w:t>Simulated assessment environments must s</w:t>
      </w:r>
      <w:r w:rsidRPr="00DE4261">
        <w:t>imulate the real life working environment where these skills and knowledge would be performed, with all the relevant equipment and resources of that working environment.</w:t>
      </w:r>
    </w:p>
    <w:p w:rsidR="00000000" w:rsidRPr="00DE4261" w:rsidP="00CD63DA">
      <w:pPr>
        <w:pStyle w:val="BodyText"/>
      </w:pPr>
      <w:r w:rsidRPr="00DE4261">
        <w:t>Assessors must satisfy the Standards for Registered Training Organisations (RTOs) 20</w:t>
      </w:r>
      <w:r w:rsidRPr="00DE4261">
        <w:t>15/AQTF mandatory competency requirements for assessors.</w:t>
      </w:r>
    </w:p>
    <w:p w:rsidR="00000000" w:rsidRPr="00DE4261" w:rsidP="00CD63DA">
      <w:pPr>
        <w:pStyle w:val="BodyText"/>
      </w:pPr>
      <w:r w:rsidRPr="00DE4261">
        <w:t>Assessment must be undertaken by a workplace assessor who has expertise in this unit of competency and who is:</w:t>
      </w:r>
    </w:p>
    <w:p w:rsidR="00000000" w:rsidRPr="00DE4261" w:rsidP="00CD63DA">
      <w:pPr>
        <w:pStyle w:val="BodyText"/>
      </w:pPr>
      <w:r w:rsidRPr="00DE4261">
        <w:t>a Registered Aboriginal or Torres Strait Islander Health Practitioner</w:t>
      </w:r>
      <w:r>
        <w:t xml:space="preserve"> </w:t>
      </w:r>
      <w:r w:rsidRPr="00DE4261">
        <w:t>or:</w:t>
      </w:r>
    </w:p>
    <w:p w:rsidR="00000000" w:rsidRPr="00DE4261" w:rsidP="00DE4261">
      <w:pPr>
        <w:pStyle w:val="ListBullet"/>
      </w:pPr>
      <w:r w:rsidRPr="00DE4261">
        <w:t>a Registere</w:t>
      </w:r>
      <w:r w:rsidRPr="00DE4261">
        <w:t>d Health Practitioner accompanied by an Aboriginal or Torres Strait Islander person who is a recognised member of the community with experience in primary health care.</w:t>
      </w:r>
    </w:p>
    <w:p w:rsidR="00000000" w:rsidRPr="00DE4261" w:rsidP="00DE4261">
      <w:pPr>
        <w:pStyle w:val="AllowPageBreak"/>
      </w:pPr>
    </w:p>
    <w:p w:rsidR="00000000" w:rsidRPr="00DE4261" w:rsidP="00DE4261">
      <w:pPr>
        <w:pStyle w:val="Heading1"/>
      </w:pPr>
      <w:bookmarkStart w:id="5" w:name="O_744930"/>
      <w:bookmarkEnd w:id="5"/>
      <w:r w:rsidRPr="00DE4261">
        <w:t>Links</w:t>
      </w:r>
    </w:p>
    <w:p w:rsidR="00000000" w:rsidRPr="00DE4261" w:rsidP="00CD63DA">
      <w:pPr>
        <w:pStyle w:val="BodyText"/>
      </w:pPr>
      <w:r w:rsidRPr="00DE426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C2DB7">
        <w:rPr>
          <w:rStyle w:val="Hyperlink"/>
        </w:rPr>
        <w:t>https://vetnet.gov.au/Pages/TrainingDocs.aspx?q=ced1390f-48d9-4ab0-bd50-b015e5485705</w:t>
      </w:r>
      <w:r>
        <w:fldChar w:fldCharType="end"/>
      </w:r>
    </w:p>
    <w:p w:rsidR="00000000" w:rsidRPr="00DE4261" w:rsidP="00DE4261"/>
    <w:sectPr w:rsidSect="00DE42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2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261" w:rsidRPr="00CD63DA" w:rsidP="00CD63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2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DA" w:rsidP="00DE42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63DA" w:rsidP="00DE426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D63DA" w:rsidP="00DE42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2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4261" w:rsidRPr="00CD63DA" w:rsidP="00CD63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2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DA" w:rsidRPr="002D2AF8" w:rsidP="00DE4261">
    <w:pPr>
      <w:pStyle w:val="Header"/>
      <w:framePr w:wrap="around"/>
    </w:pPr>
    <w:r>
      <w:fldChar w:fldCharType="begin"/>
    </w:r>
    <w:r>
      <w:instrText xml:space="preserve"> TITLE   \* MERGEFORMAT </w:instrText>
    </w:r>
    <w:r>
      <w:fldChar w:fldCharType="separate"/>
    </w:r>
    <w:r>
      <w:t>Assessment Requirements for HLTAHW020 Administer medications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January 2023</w:t>
    </w:r>
    <w:r>
      <w:fldChar w:fldCharType="end"/>
    </w:r>
  </w:p>
  <w:p w:rsidR="00CD63DA" w:rsidP="00DE42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6E4A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92FF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B046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2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4261"/>
    <w:pPr>
      <w:spacing w:before="360" w:after="60"/>
      <w:outlineLvl w:val="0"/>
    </w:pPr>
    <w:rPr>
      <w:sz w:val="32"/>
    </w:rPr>
  </w:style>
  <w:style w:type="paragraph" w:styleId="Heading2">
    <w:name w:val="heading 2"/>
    <w:basedOn w:val="HeadingBase"/>
    <w:next w:val="BodyText"/>
    <w:link w:val="Heading2Char"/>
    <w:qFormat/>
    <w:rsid w:val="00DE4261"/>
    <w:pPr>
      <w:keepLines/>
      <w:spacing w:before="240" w:after="120"/>
      <w:outlineLvl w:val="1"/>
    </w:pPr>
    <w:rPr>
      <w:sz w:val="28"/>
      <w:szCs w:val="40"/>
    </w:rPr>
  </w:style>
  <w:style w:type="paragraph" w:styleId="Heading3">
    <w:name w:val="heading 3"/>
    <w:basedOn w:val="HeadingBase"/>
    <w:next w:val="BodyText"/>
    <w:link w:val="Heading3Char"/>
    <w:qFormat/>
    <w:rsid w:val="00DE4261"/>
    <w:pPr>
      <w:spacing w:before="180" w:after="120"/>
      <w:outlineLvl w:val="2"/>
    </w:pPr>
    <w:rPr>
      <w:spacing w:val="-10"/>
      <w:kern w:val="32"/>
    </w:rPr>
  </w:style>
  <w:style w:type="paragraph" w:styleId="Heading4">
    <w:name w:val="heading 4"/>
    <w:basedOn w:val="HeadingBase"/>
    <w:next w:val="BodyText"/>
    <w:link w:val="Heading4Char"/>
    <w:qFormat/>
    <w:rsid w:val="00DE4261"/>
    <w:pPr>
      <w:spacing w:before="160" w:after="120"/>
      <w:outlineLvl w:val="3"/>
    </w:pPr>
    <w:rPr>
      <w:sz w:val="22"/>
    </w:rPr>
  </w:style>
  <w:style w:type="paragraph" w:styleId="Heading5">
    <w:name w:val="heading 5"/>
    <w:basedOn w:val="HeadingBase"/>
    <w:next w:val="Normal"/>
    <w:link w:val="Heading5Char"/>
    <w:qFormat/>
    <w:rsid w:val="00DE4261"/>
    <w:pPr>
      <w:spacing w:before="80"/>
      <w:outlineLvl w:val="4"/>
    </w:pPr>
    <w:rPr>
      <w:color w:val="918585"/>
      <w:sz w:val="20"/>
    </w:rPr>
  </w:style>
  <w:style w:type="paragraph" w:styleId="Heading6">
    <w:name w:val="heading 6"/>
    <w:basedOn w:val="HeadingBase"/>
    <w:next w:val="Normal"/>
    <w:link w:val="Heading6Char"/>
    <w:qFormat/>
    <w:rsid w:val="00DE4261"/>
    <w:pPr>
      <w:spacing w:before="60"/>
      <w:outlineLvl w:val="5"/>
    </w:pPr>
    <w:rPr>
      <w:color w:val="918585"/>
      <w:sz w:val="20"/>
    </w:rPr>
  </w:style>
  <w:style w:type="paragraph" w:styleId="Heading7">
    <w:name w:val="heading 7"/>
    <w:basedOn w:val="Normal"/>
    <w:next w:val="Normal"/>
    <w:link w:val="Heading7Char"/>
    <w:qFormat/>
    <w:rsid w:val="00DE4261"/>
    <w:pPr>
      <w:ind w:left="720"/>
      <w:outlineLvl w:val="6"/>
    </w:pPr>
    <w:rPr>
      <w:i/>
    </w:rPr>
  </w:style>
  <w:style w:type="paragraph" w:styleId="Heading8">
    <w:name w:val="heading 8"/>
    <w:basedOn w:val="Normal"/>
    <w:next w:val="Normal"/>
    <w:link w:val="Heading8Char"/>
    <w:qFormat/>
    <w:rsid w:val="00DE4261"/>
    <w:pPr>
      <w:ind w:left="720"/>
      <w:outlineLvl w:val="7"/>
    </w:pPr>
    <w:rPr>
      <w:i/>
    </w:rPr>
  </w:style>
  <w:style w:type="paragraph" w:styleId="Heading9">
    <w:name w:val="heading 9"/>
    <w:basedOn w:val="Normal"/>
    <w:next w:val="Normal"/>
    <w:link w:val="Heading9Char"/>
    <w:qFormat/>
    <w:rsid w:val="00DE4261"/>
    <w:pPr>
      <w:ind w:left="720"/>
      <w:outlineLvl w:val="8"/>
    </w:pPr>
    <w:rPr>
      <w:i/>
    </w:rPr>
  </w:style>
  <w:style w:type="character" w:default="1" w:styleId="DefaultParagraphFont">
    <w:name w:val="Default Paragraph Font"/>
    <w:uiPriority w:val="1"/>
    <w:unhideWhenUsed/>
    <w:rsid w:val="00DE42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4261"/>
  </w:style>
  <w:style w:type="character" w:customStyle="1" w:styleId="Heading1Char">
    <w:name w:val="Heading 1 Char"/>
    <w:basedOn w:val="DefaultParagraphFont"/>
    <w:link w:val="Heading1"/>
    <w:rsid w:val="00DE4261"/>
    <w:rPr>
      <w:rFonts w:ascii="Times New Roman" w:eastAsia="Times New Roman" w:hAnsi="Times New Roman" w:cs="Times New Roman"/>
      <w:b/>
      <w:sz w:val="32"/>
      <w:szCs w:val="20"/>
      <w:lang w:eastAsia="en-US"/>
    </w:rPr>
  </w:style>
  <w:style w:type="paragraph" w:styleId="BodyText">
    <w:name w:val="Body Text"/>
    <w:basedOn w:val="Normal"/>
    <w:link w:val="BodyTextChar"/>
    <w:rsid w:val="00DE42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4261"/>
    <w:rPr>
      <w:rFonts w:ascii="Times New Roman" w:eastAsia="Times New Roman" w:hAnsi="Times New Roman" w:cs="Times New Roman"/>
      <w:sz w:val="24"/>
      <w:lang w:eastAsia="en-US"/>
    </w:rPr>
  </w:style>
  <w:style w:type="paragraph" w:styleId="ListBullet">
    <w:name w:val="List Bullet"/>
    <w:basedOn w:val="List"/>
    <w:rsid w:val="00DE4261"/>
    <w:pPr>
      <w:numPr>
        <w:numId w:val="12"/>
      </w:numPr>
      <w:tabs>
        <w:tab w:val="clear" w:pos="340"/>
      </w:tabs>
      <w:spacing w:before="40" w:after="40"/>
    </w:pPr>
  </w:style>
  <w:style w:type="character" w:customStyle="1" w:styleId="SpecialBold">
    <w:name w:val="Special Bold"/>
    <w:basedOn w:val="DefaultParagraphFont"/>
    <w:rsid w:val="00DE4261"/>
    <w:rPr>
      <w:b/>
      <w:spacing w:val="0"/>
    </w:rPr>
  </w:style>
  <w:style w:type="paragraph" w:styleId="ListBullet2">
    <w:name w:val="List Bullet 2"/>
    <w:basedOn w:val="List2"/>
    <w:rsid w:val="00DE4261"/>
    <w:pPr>
      <w:numPr>
        <w:numId w:val="13"/>
      </w:numPr>
      <w:tabs>
        <w:tab w:val="clear" w:pos="680"/>
      </w:tabs>
    </w:pPr>
  </w:style>
  <w:style w:type="character" w:styleId="Emphasis">
    <w:name w:val="Emphasis"/>
    <w:basedOn w:val="DefaultParagraphFont"/>
    <w:qFormat/>
    <w:rsid w:val="00DE4261"/>
    <w:rPr>
      <w:i/>
    </w:rPr>
  </w:style>
  <w:style w:type="paragraph" w:customStyle="1" w:styleId="SuperHeading">
    <w:name w:val="SuperHeading"/>
    <w:basedOn w:val="Normal"/>
    <w:rsid w:val="00DE4261"/>
    <w:pPr>
      <w:spacing w:before="240" w:after="120"/>
      <w:outlineLvl w:val="0"/>
    </w:pPr>
    <w:rPr>
      <w:rFonts w:ascii="Times New Roman" w:hAnsi="Times New Roman"/>
      <w:b/>
      <w:sz w:val="32"/>
    </w:rPr>
  </w:style>
  <w:style w:type="paragraph" w:customStyle="1" w:styleId="AllowPageBreak">
    <w:name w:val="AllowPageBreak"/>
    <w:rsid w:val="00DE42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4261"/>
    <w:pPr>
      <w:tabs>
        <w:tab w:val="left" w:pos="680"/>
      </w:tabs>
      <w:spacing w:before="60" w:after="60"/>
      <w:ind w:left="680" w:hanging="340"/>
    </w:pPr>
  </w:style>
  <w:style w:type="paragraph" w:styleId="List3">
    <w:name w:val="List 3"/>
    <w:basedOn w:val="BodyText"/>
    <w:rsid w:val="00DE4261"/>
    <w:pPr>
      <w:tabs>
        <w:tab w:val="left" w:pos="1021"/>
      </w:tabs>
      <w:spacing w:before="60" w:after="60"/>
      <w:ind w:left="1020" w:hanging="340"/>
    </w:pPr>
  </w:style>
  <w:style w:type="character" w:customStyle="1" w:styleId="Heading2Char">
    <w:name w:val="Heading 2 Char"/>
    <w:basedOn w:val="DefaultParagraphFont"/>
    <w:link w:val="Heading2"/>
    <w:rsid w:val="00DE42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42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42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42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42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42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42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4261"/>
    <w:rPr>
      <w:rFonts w:ascii="Courier New" w:eastAsia="Times New Roman" w:hAnsi="Courier New" w:cs="Times New Roman"/>
      <w:i/>
      <w:szCs w:val="20"/>
      <w:lang w:eastAsia="en-US"/>
    </w:rPr>
  </w:style>
  <w:style w:type="paragraph" w:customStyle="1" w:styleId="HeadingBase">
    <w:name w:val="Heading Base"/>
    <w:rsid w:val="00DE42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4261"/>
    <w:pPr>
      <w:tabs>
        <w:tab w:val="right" w:leader="dot" w:pos="9072"/>
      </w:tabs>
      <w:ind w:left="567"/>
    </w:pPr>
    <w:rPr>
      <w:szCs w:val="22"/>
    </w:rPr>
  </w:style>
  <w:style w:type="paragraph" w:customStyle="1" w:styleId="TOCBase">
    <w:name w:val="TOC Base"/>
    <w:rsid w:val="00DE42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4261"/>
    <w:pPr>
      <w:tabs>
        <w:tab w:val="right" w:leader="dot" w:pos="9072"/>
      </w:tabs>
      <w:spacing w:before="40" w:after="40"/>
      <w:ind w:left="284"/>
    </w:pPr>
    <w:rPr>
      <w:rFonts w:ascii="Times New Roman" w:hAnsi="Times New Roman"/>
    </w:rPr>
  </w:style>
  <w:style w:type="paragraph" w:styleId="TOC1">
    <w:name w:val="toc 1"/>
    <w:basedOn w:val="TOCBase"/>
    <w:next w:val="Normal"/>
    <w:rsid w:val="00DE42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42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4261"/>
    <w:rPr>
      <w:rFonts w:ascii="Times New Roman" w:eastAsia="Times New Roman" w:hAnsi="Times New Roman" w:cs="Times New Roman"/>
      <w:sz w:val="16"/>
      <w:lang w:eastAsia="en-US"/>
    </w:rPr>
  </w:style>
  <w:style w:type="paragraph" w:styleId="Title">
    <w:name w:val="Title"/>
    <w:basedOn w:val="HeadingBase"/>
    <w:link w:val="TitleChar"/>
    <w:qFormat/>
    <w:rsid w:val="00DE4261"/>
    <w:pPr>
      <w:spacing w:before="5040"/>
      <w:jc w:val="center"/>
    </w:pPr>
    <w:rPr>
      <w:sz w:val="48"/>
      <w:szCs w:val="72"/>
      <w:lang w:val="en-US"/>
    </w:rPr>
  </w:style>
  <w:style w:type="character" w:customStyle="1" w:styleId="TitleChar">
    <w:name w:val="Title Char"/>
    <w:basedOn w:val="DefaultParagraphFont"/>
    <w:link w:val="Title"/>
    <w:rsid w:val="00DE42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4261"/>
    <w:pPr>
      <w:tabs>
        <w:tab w:val="left" w:pos="3600"/>
        <w:tab w:val="left" w:pos="3958"/>
      </w:tabs>
    </w:pPr>
  </w:style>
  <w:style w:type="paragraph" w:styleId="List">
    <w:name w:val="List"/>
    <w:basedOn w:val="BodyText"/>
    <w:next w:val="BodyText"/>
    <w:rsid w:val="00DE4261"/>
    <w:pPr>
      <w:tabs>
        <w:tab w:val="left" w:pos="340"/>
      </w:tabs>
      <w:spacing w:before="60" w:after="60"/>
      <w:ind w:left="340" w:hanging="340"/>
    </w:pPr>
  </w:style>
  <w:style w:type="paragraph" w:customStyle="1" w:styleId="Note">
    <w:name w:val="Note"/>
    <w:basedOn w:val="BodyText"/>
    <w:rsid w:val="00DE42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4261"/>
    <w:pPr>
      <w:framePr w:wrap="auto" w:hAnchor="text" w:y="6049"/>
    </w:pPr>
    <w:rPr>
      <w:color w:val="000000"/>
      <w:sz w:val="40"/>
    </w:rPr>
  </w:style>
  <w:style w:type="paragraph" w:customStyle="1" w:styleId="TOCTitle">
    <w:name w:val="TOCTitle"/>
    <w:basedOn w:val="Heading1"/>
    <w:rsid w:val="00DE4261"/>
    <w:pPr>
      <w:spacing w:after="240"/>
      <w:jc w:val="center"/>
      <w:outlineLvl w:val="9"/>
    </w:pPr>
    <w:rPr>
      <w:caps/>
    </w:rPr>
  </w:style>
  <w:style w:type="paragraph" w:customStyle="1" w:styleId="Version">
    <w:name w:val="Version"/>
    <w:rsid w:val="00DE42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4261"/>
    <w:pPr>
      <w:keepNext w:val="0"/>
      <w:tabs>
        <w:tab w:val="right" w:pos="4176"/>
      </w:tabs>
      <w:ind w:left="198" w:hanging="198"/>
    </w:pPr>
    <w:rPr>
      <w:rFonts w:ascii="Garamond" w:hAnsi="Garamond"/>
    </w:rPr>
  </w:style>
  <w:style w:type="paragraph" w:styleId="IndexHeading">
    <w:name w:val="index heading"/>
    <w:basedOn w:val="Normal"/>
    <w:next w:val="Index1"/>
    <w:semiHidden/>
    <w:rsid w:val="00DE4261"/>
    <w:pPr>
      <w:spacing w:before="120" w:after="120"/>
    </w:pPr>
    <w:rPr>
      <w:rFonts w:ascii="Arial" w:hAnsi="Arial"/>
      <w:b/>
      <w:color w:val="918585"/>
      <w:sz w:val="24"/>
    </w:rPr>
  </w:style>
  <w:style w:type="paragraph" w:styleId="Header">
    <w:name w:val="header"/>
    <w:basedOn w:val="Normal"/>
    <w:link w:val="HeaderChar"/>
    <w:rsid w:val="00DE42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4261"/>
    <w:rPr>
      <w:rFonts w:ascii="Times New Roman" w:eastAsia="Times New Roman" w:hAnsi="Times New Roman" w:cs="Times New Roman"/>
      <w:sz w:val="16"/>
      <w:szCs w:val="20"/>
      <w:lang w:val="en-GB" w:eastAsia="en-US"/>
    </w:rPr>
  </w:style>
  <w:style w:type="paragraph" w:customStyle="1" w:styleId="Chapter">
    <w:name w:val="Chapter"/>
    <w:basedOn w:val="Normal"/>
    <w:rsid w:val="00DE4261"/>
    <w:pPr>
      <w:spacing w:before="240"/>
    </w:pPr>
    <w:rPr>
      <w:rFonts w:ascii="Times New Roman" w:hAnsi="Times New Roman"/>
      <w:smallCaps/>
      <w:spacing w:val="80"/>
      <w:sz w:val="28"/>
    </w:rPr>
  </w:style>
  <w:style w:type="paragraph" w:customStyle="1" w:styleId="InChapter">
    <w:name w:val="InChapter"/>
    <w:basedOn w:val="Heading3"/>
    <w:rsid w:val="00DE4261"/>
    <w:pPr>
      <w:spacing w:after="240"/>
      <w:outlineLvl w:val="9"/>
    </w:pPr>
    <w:rPr>
      <w:noProof/>
    </w:rPr>
  </w:style>
  <w:style w:type="paragraph" w:styleId="Index2">
    <w:name w:val="index 2"/>
    <w:basedOn w:val="Normal"/>
    <w:next w:val="Normal"/>
    <w:semiHidden/>
    <w:rsid w:val="00DE4261"/>
    <w:pPr>
      <w:tabs>
        <w:tab w:val="right" w:pos="4176"/>
      </w:tabs>
      <w:ind w:left="568" w:hanging="284"/>
    </w:pPr>
    <w:rPr>
      <w:rFonts w:ascii="Garamond" w:hAnsi="Garamond"/>
    </w:rPr>
  </w:style>
  <w:style w:type="paragraph" w:customStyle="1" w:styleId="Byline">
    <w:name w:val="Byline"/>
    <w:rsid w:val="00DE42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4261"/>
    <w:pPr>
      <w:tabs>
        <w:tab w:val="clear" w:pos="3600"/>
        <w:tab w:val="clear" w:pos="3958"/>
      </w:tabs>
      <w:jc w:val="right"/>
    </w:pPr>
  </w:style>
  <w:style w:type="paragraph" w:styleId="Caption">
    <w:name w:val="caption"/>
    <w:basedOn w:val="BodyText"/>
    <w:next w:val="Normal"/>
    <w:qFormat/>
    <w:rsid w:val="00DE4261"/>
    <w:pPr>
      <w:framePr w:w="2268" w:hSpace="181" w:vSpace="181" w:wrap="around" w:vAnchor="text" w:hAnchor="page" w:x="1135" w:y="285" w:anchorLock="1"/>
    </w:pPr>
    <w:rPr>
      <w:i/>
    </w:rPr>
  </w:style>
  <w:style w:type="paragraph" w:customStyle="1" w:styleId="MiniTOCTitle">
    <w:name w:val="MiniTOCTitle"/>
    <w:basedOn w:val="Heading4"/>
    <w:rsid w:val="00DE4261"/>
    <w:pPr>
      <w:spacing w:before="240"/>
      <w:outlineLvl w:val="9"/>
    </w:pPr>
    <w:rPr>
      <w:noProof/>
      <w:sz w:val="24"/>
    </w:rPr>
  </w:style>
  <w:style w:type="paragraph" w:customStyle="1" w:styleId="MiniTOCItem">
    <w:name w:val="MiniTOCItem"/>
    <w:basedOn w:val="ListBullet"/>
    <w:rsid w:val="00DE4261"/>
    <w:pPr>
      <w:numPr>
        <w:numId w:val="0"/>
      </w:numPr>
      <w:tabs>
        <w:tab w:val="right" w:leader="dot" w:pos="6521"/>
      </w:tabs>
      <w:spacing w:before="0" w:after="0"/>
    </w:pPr>
  </w:style>
  <w:style w:type="paragraph" w:customStyle="1" w:styleId="TOFTitle">
    <w:name w:val="TOFTitle"/>
    <w:basedOn w:val="TOCTitle"/>
    <w:rsid w:val="00DE4261"/>
  </w:style>
  <w:style w:type="paragraph" w:styleId="TableofFigures">
    <w:name w:val="table of figures"/>
    <w:basedOn w:val="Normal"/>
    <w:next w:val="Normal"/>
    <w:semiHidden/>
    <w:rsid w:val="00DE4261"/>
    <w:pPr>
      <w:tabs>
        <w:tab w:val="right" w:leader="dot" w:pos="9072"/>
      </w:tabs>
      <w:ind w:left="970" w:hanging="403"/>
    </w:pPr>
    <w:rPr>
      <w:rFonts w:ascii="Times New Roman" w:hAnsi="Times New Roman"/>
      <w:b/>
    </w:rPr>
  </w:style>
  <w:style w:type="paragraph" w:styleId="ListNumber">
    <w:name w:val="List Number"/>
    <w:basedOn w:val="List"/>
    <w:rsid w:val="00DE4261"/>
    <w:pPr>
      <w:numPr>
        <w:numId w:val="15"/>
      </w:numPr>
      <w:tabs>
        <w:tab w:val="clear" w:pos="340"/>
      </w:tabs>
    </w:pPr>
  </w:style>
  <w:style w:type="character" w:customStyle="1" w:styleId="WingdingSymbols">
    <w:name w:val="Wingding Symbols"/>
    <w:rsid w:val="00DE4261"/>
    <w:rPr>
      <w:rFonts w:ascii="Wingdings" w:hAnsi="Wingdings"/>
    </w:rPr>
  </w:style>
  <w:style w:type="paragraph" w:customStyle="1" w:styleId="TableHeading">
    <w:name w:val="Table Heading"/>
    <w:basedOn w:val="HeadingBase"/>
    <w:rsid w:val="00DE4261"/>
    <w:pPr>
      <w:keepLines/>
      <w:pBdr>
        <w:bottom w:val="single" w:sz="6" w:space="1" w:color="918585"/>
      </w:pBdr>
      <w:spacing w:before="240"/>
    </w:pPr>
  </w:style>
  <w:style w:type="character" w:customStyle="1" w:styleId="HotSpot">
    <w:name w:val="HotSpot"/>
    <w:rsid w:val="00DE4261"/>
    <w:rPr>
      <w:color w:val="0033CC"/>
      <w:u w:val="none"/>
    </w:rPr>
  </w:style>
  <w:style w:type="paragraph" w:customStyle="1" w:styleId="BodyTextRight">
    <w:name w:val="Body Text Right"/>
    <w:basedOn w:val="BodyText"/>
    <w:rsid w:val="00DE4261"/>
    <w:pPr>
      <w:spacing w:before="0" w:after="0"/>
      <w:jc w:val="right"/>
    </w:pPr>
  </w:style>
  <w:style w:type="paragraph" w:styleId="Index3">
    <w:name w:val="index 3"/>
    <w:basedOn w:val="ListNumber2"/>
    <w:next w:val="Normal"/>
    <w:semiHidden/>
    <w:rsid w:val="00DE4261"/>
    <w:pPr>
      <w:numPr>
        <w:numId w:val="0"/>
      </w:numPr>
      <w:tabs>
        <w:tab w:val="right" w:leader="dot" w:pos="4176"/>
      </w:tabs>
    </w:pPr>
  </w:style>
  <w:style w:type="paragraph" w:styleId="ListNumber2">
    <w:name w:val="List Number 2"/>
    <w:basedOn w:val="List2"/>
    <w:rsid w:val="00DE4261"/>
    <w:pPr>
      <w:numPr>
        <w:numId w:val="10"/>
      </w:numPr>
      <w:tabs>
        <w:tab w:val="clear" w:pos="1060"/>
      </w:tabs>
    </w:pPr>
  </w:style>
  <w:style w:type="paragraph" w:customStyle="1" w:styleId="MarginNote">
    <w:name w:val="Margin Note"/>
    <w:basedOn w:val="BodyText"/>
    <w:rsid w:val="00DE42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42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42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4261"/>
    <w:rPr>
      <w:sz w:val="32"/>
    </w:rPr>
  </w:style>
  <w:style w:type="paragraph" w:customStyle="1" w:styleId="HeadingProcedure">
    <w:name w:val="Heading Procedure"/>
    <w:basedOn w:val="HeadingBase"/>
    <w:next w:val="Normal"/>
    <w:rsid w:val="00DE4261"/>
    <w:pPr>
      <w:tabs>
        <w:tab w:val="left" w:pos="0"/>
      </w:tabs>
      <w:spacing w:before="120" w:after="60"/>
    </w:pPr>
    <w:rPr>
      <w:i/>
      <w:color w:val="918585"/>
      <w:sz w:val="22"/>
    </w:rPr>
  </w:style>
  <w:style w:type="paragraph" w:customStyle="1" w:styleId="TableBodyText">
    <w:name w:val="Table Body Text"/>
    <w:basedOn w:val="BodyText"/>
    <w:rsid w:val="00DE4261"/>
    <w:pPr>
      <w:spacing w:before="60" w:after="60"/>
    </w:pPr>
  </w:style>
  <w:style w:type="paragraph" w:styleId="ListContinue">
    <w:name w:val="List Continue"/>
    <w:basedOn w:val="List"/>
    <w:rsid w:val="00DE4261"/>
    <w:pPr>
      <w:ind w:firstLine="0"/>
    </w:pPr>
  </w:style>
  <w:style w:type="paragraph" w:customStyle="1" w:styleId="ListNote">
    <w:name w:val="List Note"/>
    <w:basedOn w:val="List"/>
    <w:rsid w:val="00DE4261"/>
    <w:pPr>
      <w:pBdr>
        <w:top w:val="single" w:sz="6" w:space="2" w:color="918585"/>
        <w:bottom w:val="single" w:sz="6" w:space="2" w:color="918585"/>
      </w:pBdr>
      <w:tabs>
        <w:tab w:val="left" w:pos="1021"/>
      </w:tabs>
      <w:ind w:firstLine="0"/>
    </w:pPr>
  </w:style>
  <w:style w:type="paragraph" w:customStyle="1" w:styleId="Warning">
    <w:name w:val="Warning"/>
    <w:basedOn w:val="BodyText"/>
    <w:rsid w:val="00DE4261"/>
    <w:pPr>
      <w:shd w:val="clear" w:color="auto" w:fill="D9D9D9"/>
      <w:tabs>
        <w:tab w:val="left" w:pos="992"/>
      </w:tabs>
      <w:ind w:left="119" w:right="119"/>
    </w:pPr>
    <w:rPr>
      <w:sz w:val="20"/>
    </w:rPr>
  </w:style>
  <w:style w:type="paragraph" w:customStyle="1" w:styleId="MarginIcons">
    <w:name w:val="Margin Icons"/>
    <w:basedOn w:val="BodyText"/>
    <w:rsid w:val="00DE42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4261"/>
    <w:rPr>
      <w:rFonts w:ascii="Courier New" w:hAnsi="Courier New"/>
    </w:rPr>
  </w:style>
  <w:style w:type="paragraph" w:customStyle="1" w:styleId="NoteBullet">
    <w:name w:val="Note Bullet"/>
    <w:basedOn w:val="Note"/>
    <w:rsid w:val="00DE4261"/>
    <w:pPr>
      <w:tabs>
        <w:tab w:val="clear" w:pos="680"/>
      </w:tabs>
      <w:spacing w:before="60" w:after="60"/>
    </w:pPr>
  </w:style>
  <w:style w:type="paragraph" w:customStyle="1" w:styleId="SubHeading2">
    <w:name w:val="SubHeading2"/>
    <w:basedOn w:val="HeadingBase"/>
    <w:rsid w:val="00DE4261"/>
    <w:pPr>
      <w:spacing w:before="240" w:after="60"/>
    </w:pPr>
    <w:rPr>
      <w:sz w:val="20"/>
    </w:rPr>
  </w:style>
  <w:style w:type="paragraph" w:customStyle="1" w:styleId="SubHeading1">
    <w:name w:val="SubHeading1"/>
    <w:basedOn w:val="HeadingBase"/>
    <w:rsid w:val="00DE4261"/>
    <w:pPr>
      <w:spacing w:before="240" w:after="60"/>
    </w:pPr>
    <w:rPr>
      <w:color w:val="918585"/>
      <w:sz w:val="22"/>
    </w:rPr>
  </w:style>
  <w:style w:type="paragraph" w:customStyle="1" w:styleId="SideHeading">
    <w:name w:val="Side Heading"/>
    <w:basedOn w:val="HeadingBase"/>
    <w:rsid w:val="00DE42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4261"/>
    <w:pPr>
      <w:tabs>
        <w:tab w:val="num" w:pos="360"/>
      </w:tabs>
    </w:pPr>
  </w:style>
  <w:style w:type="paragraph" w:styleId="PlainText">
    <w:name w:val="Plain Text"/>
    <w:basedOn w:val="Normal"/>
    <w:link w:val="PlainTextChar"/>
    <w:rsid w:val="00DE4261"/>
    <w:rPr>
      <w:sz w:val="20"/>
    </w:rPr>
  </w:style>
  <w:style w:type="character" w:customStyle="1" w:styleId="PlainTextChar">
    <w:name w:val="Plain Text Char"/>
    <w:basedOn w:val="DefaultParagraphFont"/>
    <w:link w:val="PlainText"/>
    <w:rsid w:val="00DE4261"/>
    <w:rPr>
      <w:rFonts w:ascii="Courier New" w:eastAsia="Times New Roman" w:hAnsi="Courier New" w:cs="Times New Roman"/>
      <w:sz w:val="20"/>
      <w:szCs w:val="20"/>
      <w:lang w:eastAsia="en-US"/>
    </w:rPr>
  </w:style>
  <w:style w:type="character" w:customStyle="1" w:styleId="MenuOption">
    <w:name w:val="Menu Option"/>
    <w:basedOn w:val="DefaultParagraphFont"/>
    <w:rsid w:val="00DE4261"/>
    <w:rPr>
      <w:b/>
      <w:smallCaps/>
    </w:rPr>
  </w:style>
  <w:style w:type="paragraph" w:customStyle="1" w:styleId="TableListNumber">
    <w:name w:val="Table List Number"/>
    <w:basedOn w:val="ListNumber"/>
    <w:rsid w:val="00DE4261"/>
    <w:pPr>
      <w:numPr>
        <w:numId w:val="0"/>
      </w:numPr>
    </w:pPr>
  </w:style>
  <w:style w:type="paragraph" w:styleId="TOC4">
    <w:name w:val="toc 4"/>
    <w:basedOn w:val="TOCBase"/>
    <w:next w:val="Normal"/>
    <w:semiHidden/>
    <w:rsid w:val="00DE4261"/>
    <w:pPr>
      <w:tabs>
        <w:tab w:val="right" w:leader="dot" w:pos="9071"/>
      </w:tabs>
      <w:ind w:left="1701"/>
    </w:pPr>
  </w:style>
  <w:style w:type="paragraph" w:customStyle="1" w:styleId="ListAlpha">
    <w:name w:val="List Alpha"/>
    <w:basedOn w:val="List"/>
    <w:rsid w:val="00DE4261"/>
    <w:pPr>
      <w:numPr>
        <w:numId w:val="9"/>
      </w:numPr>
    </w:pPr>
  </w:style>
  <w:style w:type="paragraph" w:customStyle="1" w:styleId="ListAlpha2">
    <w:name w:val="List Alpha 2"/>
    <w:basedOn w:val="List2"/>
    <w:rsid w:val="00DE4261"/>
    <w:pPr>
      <w:numPr>
        <w:numId w:val="8"/>
      </w:numPr>
    </w:pPr>
  </w:style>
  <w:style w:type="paragraph" w:styleId="List4">
    <w:name w:val="List 4"/>
    <w:basedOn w:val="BodyText"/>
    <w:rsid w:val="00DE4261"/>
    <w:pPr>
      <w:tabs>
        <w:tab w:val="left" w:pos="1361"/>
      </w:tabs>
      <w:spacing w:before="60" w:after="60"/>
      <w:ind w:left="1361" w:hanging="340"/>
    </w:pPr>
  </w:style>
  <w:style w:type="paragraph" w:styleId="List5">
    <w:name w:val="List 5"/>
    <w:basedOn w:val="BodyText"/>
    <w:rsid w:val="00DE4261"/>
    <w:pPr>
      <w:tabs>
        <w:tab w:val="left" w:pos="1701"/>
      </w:tabs>
      <w:spacing w:before="60" w:after="60"/>
      <w:ind w:left="1701" w:hanging="340"/>
    </w:pPr>
  </w:style>
  <w:style w:type="paragraph" w:styleId="ListBullet3">
    <w:name w:val="List Bullet 3"/>
    <w:basedOn w:val="List3"/>
    <w:rsid w:val="00DE4261"/>
    <w:pPr>
      <w:numPr>
        <w:numId w:val="14"/>
      </w:numPr>
      <w:tabs>
        <w:tab w:val="clear" w:pos="1021"/>
      </w:tabs>
      <w:ind w:left="1037" w:hanging="357"/>
    </w:pPr>
  </w:style>
  <w:style w:type="paragraph" w:styleId="ListBullet4">
    <w:name w:val="List Bullet 4"/>
    <w:basedOn w:val="List4"/>
    <w:rsid w:val="00DE4261"/>
    <w:pPr>
      <w:numPr>
        <w:numId w:val="3"/>
      </w:numPr>
      <w:tabs>
        <w:tab w:val="clear" w:pos="1361"/>
      </w:tabs>
    </w:pPr>
  </w:style>
  <w:style w:type="paragraph" w:styleId="ListBullet5">
    <w:name w:val="List Bullet 5"/>
    <w:basedOn w:val="List5"/>
    <w:rsid w:val="00DE4261"/>
    <w:pPr>
      <w:numPr>
        <w:numId w:val="4"/>
      </w:numPr>
    </w:pPr>
  </w:style>
  <w:style w:type="paragraph" w:styleId="ListContinue2">
    <w:name w:val="List Continue 2"/>
    <w:basedOn w:val="List2"/>
    <w:rsid w:val="00DE4261"/>
    <w:pPr>
      <w:ind w:firstLine="0"/>
    </w:pPr>
  </w:style>
  <w:style w:type="paragraph" w:styleId="ListContinue3">
    <w:name w:val="List Continue 3"/>
    <w:basedOn w:val="List3"/>
    <w:rsid w:val="00DE4261"/>
    <w:pPr>
      <w:ind w:left="1021" w:firstLine="0"/>
    </w:pPr>
  </w:style>
  <w:style w:type="paragraph" w:styleId="ListContinue4">
    <w:name w:val="List Continue 4"/>
    <w:basedOn w:val="List4"/>
    <w:rsid w:val="00DE4261"/>
    <w:pPr>
      <w:ind w:firstLine="0"/>
    </w:pPr>
  </w:style>
  <w:style w:type="paragraph" w:styleId="ListContinue5">
    <w:name w:val="List Continue 5"/>
    <w:basedOn w:val="List5"/>
    <w:rsid w:val="00DE4261"/>
    <w:pPr>
      <w:ind w:firstLine="0"/>
    </w:pPr>
  </w:style>
  <w:style w:type="paragraph" w:styleId="ListNumber3">
    <w:name w:val="List Number 3"/>
    <w:basedOn w:val="List3"/>
    <w:rsid w:val="00DE4261"/>
    <w:pPr>
      <w:numPr>
        <w:numId w:val="5"/>
      </w:numPr>
    </w:pPr>
  </w:style>
  <w:style w:type="paragraph" w:styleId="ListNumber4">
    <w:name w:val="List Number 4"/>
    <w:basedOn w:val="List4"/>
    <w:rsid w:val="00DE4261"/>
    <w:pPr>
      <w:numPr>
        <w:numId w:val="6"/>
      </w:numPr>
    </w:pPr>
  </w:style>
  <w:style w:type="paragraph" w:styleId="ListNumber5">
    <w:name w:val="List Number 5"/>
    <w:basedOn w:val="List5"/>
    <w:rsid w:val="00DE4261"/>
    <w:pPr>
      <w:numPr>
        <w:numId w:val="7"/>
      </w:numPr>
    </w:pPr>
  </w:style>
  <w:style w:type="paragraph" w:styleId="BlockText">
    <w:name w:val="Block Text"/>
    <w:basedOn w:val="Normal"/>
    <w:rsid w:val="00DE4261"/>
    <w:pPr>
      <w:spacing w:after="120"/>
      <w:ind w:left="1440" w:right="1440"/>
    </w:pPr>
  </w:style>
  <w:style w:type="character" w:customStyle="1" w:styleId="Subscript">
    <w:name w:val="Subscript"/>
    <w:basedOn w:val="DefaultParagraphFont"/>
    <w:rsid w:val="00DE4261"/>
    <w:rPr>
      <w:sz w:val="16"/>
      <w:vertAlign w:val="subscript"/>
    </w:rPr>
  </w:style>
  <w:style w:type="character" w:customStyle="1" w:styleId="Superscript">
    <w:name w:val="Superscript"/>
    <w:basedOn w:val="DefaultParagraphFont"/>
    <w:rsid w:val="00DE4261"/>
    <w:rPr>
      <w:sz w:val="16"/>
      <w:vertAlign w:val="superscript"/>
    </w:rPr>
  </w:style>
  <w:style w:type="character" w:customStyle="1" w:styleId="Symbols">
    <w:name w:val="Symbols"/>
    <w:basedOn w:val="DefaultParagraphFont"/>
    <w:rsid w:val="00DE4261"/>
    <w:rPr>
      <w:rFonts w:ascii="Symbol" w:hAnsi="Symbol"/>
    </w:rPr>
  </w:style>
  <w:style w:type="character" w:customStyle="1" w:styleId="MenuOptions">
    <w:name w:val="Menu Options"/>
    <w:basedOn w:val="DefaultParagraphFont"/>
    <w:rsid w:val="00DE4261"/>
    <w:rPr>
      <w:rFonts w:ascii="Arial Narrow" w:hAnsi="Arial Narrow"/>
      <w:smallCaps/>
    </w:rPr>
  </w:style>
  <w:style w:type="character" w:customStyle="1" w:styleId="Buttons">
    <w:name w:val="Buttons"/>
    <w:basedOn w:val="DefaultParagraphFont"/>
    <w:rsid w:val="00DE4261"/>
    <w:rPr>
      <w:b/>
    </w:rPr>
  </w:style>
  <w:style w:type="character" w:customStyle="1" w:styleId="Underlined">
    <w:name w:val="Underlined"/>
    <w:basedOn w:val="DefaultParagraphFont"/>
    <w:rsid w:val="00DE4261"/>
    <w:rPr>
      <w:u w:val="single"/>
    </w:rPr>
  </w:style>
  <w:style w:type="paragraph" w:customStyle="1" w:styleId="TableBodyTextRight">
    <w:name w:val="Table Body Text Right"/>
    <w:basedOn w:val="TableBodyText"/>
    <w:rsid w:val="00DE4261"/>
    <w:pPr>
      <w:widowControl w:val="0"/>
      <w:autoSpaceDE w:val="0"/>
      <w:autoSpaceDN w:val="0"/>
      <w:adjustRightInd w:val="0"/>
      <w:jc w:val="right"/>
    </w:pPr>
    <w:rPr>
      <w:rFonts w:cs="Arial"/>
      <w:szCs w:val="18"/>
    </w:rPr>
  </w:style>
  <w:style w:type="paragraph" w:customStyle="1" w:styleId="CopyrightText">
    <w:name w:val="Copyright Text"/>
    <w:basedOn w:val="BodyText"/>
    <w:rsid w:val="00DE4261"/>
    <w:rPr>
      <w:sz w:val="18"/>
    </w:rPr>
  </w:style>
  <w:style w:type="paragraph" w:customStyle="1" w:styleId="BodySmallRight">
    <w:name w:val="Body Small Right"/>
    <w:basedOn w:val="BodyTextRight"/>
    <w:rsid w:val="00DE4261"/>
    <w:rPr>
      <w:sz w:val="18"/>
      <w:szCs w:val="18"/>
    </w:rPr>
  </w:style>
  <w:style w:type="paragraph" w:customStyle="1" w:styleId="MarginEdition">
    <w:name w:val="Margin Edition"/>
    <w:basedOn w:val="MarginNote"/>
    <w:rsid w:val="00DE4261"/>
    <w:pPr>
      <w:spacing w:before="0" w:after="0"/>
    </w:pPr>
    <w:rPr>
      <w:rFonts w:ascii="Times New Roman" w:hAnsi="Times New Roman"/>
      <w:color w:val="999999"/>
    </w:rPr>
  </w:style>
  <w:style w:type="paragraph" w:customStyle="1" w:styleId="Spacer">
    <w:name w:val="Spacer"/>
    <w:basedOn w:val="Normal"/>
    <w:rsid w:val="00DE4261"/>
    <w:rPr>
      <w:sz w:val="2"/>
      <w:szCs w:val="2"/>
    </w:rPr>
  </w:style>
  <w:style w:type="character" w:customStyle="1" w:styleId="Small">
    <w:name w:val="Small"/>
    <w:basedOn w:val="DefaultParagraphFont"/>
    <w:rsid w:val="00DE4261"/>
    <w:rPr>
      <w:sz w:val="16"/>
    </w:rPr>
  </w:style>
  <w:style w:type="paragraph" w:customStyle="1" w:styleId="WideTable">
    <w:name w:val="Wide Table"/>
    <w:basedOn w:val="Normal"/>
    <w:rsid w:val="00DE4261"/>
    <w:pPr>
      <w:ind w:left="-1418"/>
    </w:pPr>
    <w:rPr>
      <w:sz w:val="2"/>
      <w:szCs w:val="2"/>
    </w:rPr>
  </w:style>
  <w:style w:type="character" w:styleId="PageNumber">
    <w:name w:val="page number"/>
    <w:basedOn w:val="DefaultParagraphFont"/>
    <w:rsid w:val="00DE4261"/>
  </w:style>
  <w:style w:type="paragraph" w:styleId="Quote">
    <w:name w:val="Quote"/>
    <w:basedOn w:val="Heading1"/>
    <w:link w:val="QuoteChar"/>
    <w:qFormat/>
    <w:rsid w:val="00DE4261"/>
    <w:rPr>
      <w:b w:val="0"/>
      <w:sz w:val="72"/>
      <w:szCs w:val="72"/>
      <w:lang w:val="en-NZ"/>
    </w:rPr>
  </w:style>
  <w:style w:type="character" w:customStyle="1" w:styleId="QuoteChar">
    <w:name w:val="Quote Char"/>
    <w:basedOn w:val="DefaultParagraphFont"/>
    <w:link w:val="Quote"/>
    <w:rsid w:val="00DE42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4261"/>
    <w:pPr>
      <w:pageBreakBefore/>
    </w:pPr>
  </w:style>
  <w:style w:type="paragraph" w:customStyle="1" w:styleId="Border">
    <w:name w:val="Border"/>
    <w:basedOn w:val="Normal"/>
    <w:qFormat/>
    <w:rsid w:val="00DE42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4261"/>
    <w:rPr>
      <w:b/>
      <w:bCs/>
      <w:i/>
      <w:iCs/>
      <w:color w:val="auto"/>
    </w:rPr>
  </w:style>
  <w:style w:type="paragraph" w:styleId="IntenseQuote">
    <w:name w:val="Intense Quote"/>
    <w:basedOn w:val="Normal"/>
    <w:next w:val="Normal"/>
    <w:link w:val="IntenseQuoteChar"/>
    <w:uiPriority w:val="30"/>
    <w:qFormat/>
    <w:rsid w:val="00DE42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42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4261"/>
    <w:rPr>
      <w:smallCaps/>
      <w:color w:val="auto"/>
      <w:u w:val="single"/>
    </w:rPr>
  </w:style>
  <w:style w:type="character" w:styleId="IntenseReference">
    <w:name w:val="Intense Reference"/>
    <w:basedOn w:val="DefaultParagraphFont"/>
    <w:uiPriority w:val="32"/>
    <w:qFormat/>
    <w:rsid w:val="00DE4261"/>
    <w:rPr>
      <w:b/>
      <w:bCs/>
      <w:smallCaps/>
      <w:color w:val="auto"/>
      <w:spacing w:val="5"/>
      <w:u w:val="single"/>
    </w:rPr>
  </w:style>
  <w:style w:type="paragraph" w:customStyle="1" w:styleId="2ColumnHeading">
    <w:name w:val="2Column Heading"/>
    <w:basedOn w:val="BodyText"/>
    <w:qFormat/>
    <w:rsid w:val="00DE4261"/>
    <w:pPr>
      <w:spacing w:after="60"/>
      <w:ind w:left="-2268"/>
    </w:pPr>
    <w:rPr>
      <w:b/>
    </w:rPr>
  </w:style>
  <w:style w:type="paragraph" w:customStyle="1" w:styleId="Heading1TOC">
    <w:name w:val="Heading1 TOC"/>
    <w:basedOn w:val="Normal"/>
    <w:qFormat/>
    <w:rsid w:val="00DE4261"/>
    <w:pPr>
      <w:spacing w:before="240" w:after="120"/>
    </w:pPr>
    <w:rPr>
      <w:rFonts w:ascii="Times New Roman" w:hAnsi="Times New Roman"/>
      <w:b/>
      <w:sz w:val="32"/>
    </w:rPr>
  </w:style>
  <w:style w:type="paragraph" w:customStyle="1" w:styleId="Heading2TOC">
    <w:name w:val="Heading2 TOC"/>
    <w:basedOn w:val="Normal"/>
    <w:qFormat/>
    <w:rsid w:val="00DE4261"/>
    <w:pPr>
      <w:spacing w:before="240" w:after="60"/>
    </w:pPr>
    <w:rPr>
      <w:rFonts w:ascii="Times New Roman" w:hAnsi="Times New Roman"/>
      <w:b/>
      <w:sz w:val="28"/>
    </w:rPr>
  </w:style>
  <w:style w:type="character" w:customStyle="1" w:styleId="Underline">
    <w:name w:val="Underline"/>
    <w:basedOn w:val="DefaultParagraphFont"/>
    <w:qFormat/>
    <w:rsid w:val="00DE4261"/>
    <w:rPr>
      <w:u w:val="single"/>
    </w:rPr>
  </w:style>
  <w:style w:type="character" w:customStyle="1" w:styleId="BoldandItalics">
    <w:name w:val="Bold and Italics"/>
    <w:qFormat/>
    <w:rsid w:val="00DE4261"/>
    <w:rPr>
      <w:b/>
      <w:i/>
      <w:u w:val="none"/>
    </w:rPr>
  </w:style>
  <w:style w:type="paragraph" w:styleId="BalloonText">
    <w:name w:val="Balloon Text"/>
    <w:basedOn w:val="Normal"/>
    <w:link w:val="BalloonTextChar"/>
    <w:rsid w:val="00DE4261"/>
    <w:rPr>
      <w:rFonts w:ascii="Tahoma" w:hAnsi="Tahoma" w:cs="Tahoma"/>
      <w:sz w:val="16"/>
      <w:szCs w:val="16"/>
    </w:rPr>
  </w:style>
  <w:style w:type="character" w:customStyle="1" w:styleId="BalloonTextChar">
    <w:name w:val="Balloon Text Char"/>
    <w:basedOn w:val="DefaultParagraphFont"/>
    <w:link w:val="BalloonText"/>
    <w:rsid w:val="00DE42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42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42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4261"/>
    <w:rPr>
      <w:b/>
      <w:color w:val="660033"/>
      <w:spacing w:val="0"/>
    </w:rPr>
  </w:style>
  <w:style w:type="paragraph" w:customStyle="1" w:styleId="Nameditemlist">
    <w:name w:val="Named item list"/>
    <w:basedOn w:val="BodyText"/>
    <w:qFormat/>
    <w:rsid w:val="00DE4261"/>
    <w:pPr>
      <w:tabs>
        <w:tab w:val="left" w:pos="2835"/>
      </w:tabs>
      <w:ind w:left="2835" w:hanging="2835"/>
    </w:pPr>
  </w:style>
  <w:style w:type="paragraph" w:customStyle="1" w:styleId="BodyTextnopadding">
    <w:name w:val="Body Text no padding"/>
    <w:basedOn w:val="BodyText"/>
    <w:qFormat/>
    <w:rsid w:val="00DE4261"/>
    <w:pPr>
      <w:spacing w:before="0" w:after="0"/>
    </w:pPr>
  </w:style>
  <w:style w:type="paragraph" w:customStyle="1" w:styleId="BodyTextBold">
    <w:name w:val="Body Text Bold"/>
    <w:basedOn w:val="BodyText"/>
    <w:qFormat/>
    <w:rsid w:val="00DE4261"/>
    <w:rPr>
      <w:b/>
    </w:rPr>
  </w:style>
  <w:style w:type="character" w:styleId="Hyperlink">
    <w:name w:val="Hyperlink"/>
    <w:basedOn w:val="DefaultParagraphFont"/>
    <w:uiPriority w:val="99"/>
    <w:unhideWhenUsed/>
    <w:rsid w:val="00CD63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1164</Words>
  <Characters>7467</Characters>
  <Application>Microsoft Office Word</Application>
  <DocSecurity>0</DocSecurity>
  <Lines>201</Lines>
  <Paragraphs>156</Paragraphs>
  <ScaleCrop>false</ScaleCrop>
  <Company>Author-it Software Corporation Ltd.</Company>
  <LinksUpToDate>false</LinksUpToDate>
  <CharactersWithSpaces>8475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HLTAHW020 Administer medications</dc:title>
  <dc:subject>Approved</dc:subject>
  <dc:creator>SkillsIQ</dc:creator>
  <cp:keywords>Release: 2</cp:keywords>
  <dc:description>Review Date: 12 April 2008</dc:description>
  <cp:lastModifiedBy>HSD_TPCMSd.prod</cp:lastModifiedBy>
  <cp:revision>3</cp:revision>
  <dcterms:created xsi:type="dcterms:W3CDTF">2023-01-12T00:05:00Z</dcterms:created>
  <dcterms:modified xsi:type="dcterms:W3CDTF">2023-01-12T00:05:00Z</dcterms:modified>
</cp:coreProperties>
</file>