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FF1" w:rsidP="00AE2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HLTAHW016 Assess client’s physical wellbeing</w:t>
      </w:r>
      <w:r>
        <w:fldChar w:fldCharType="end"/>
      </w:r>
    </w:p>
    <w:p w:rsidR="00AE2FF1" w:rsidP="00AE2FF1">
      <w:pPr>
        <w:pStyle w:val="Version"/>
        <w:sectPr w:rsidSect="00516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646C" w:rsidP="0051646C">
      <w:pPr>
        <w:pStyle w:val="SuperHeading"/>
      </w:pPr>
      <w:r w:rsidRPr="0051646C">
        <w:t>Assessment Requirements for HLTAHW016 Assess client</w:t>
      </w:r>
      <w:r>
        <w:t>’</w:t>
      </w:r>
      <w:r w:rsidRPr="0051646C">
        <w:t>s physical wellbeing</w:t>
      </w:r>
    </w:p>
    <w:p w:rsidR="00000000" w:rsidRPr="0051646C" w:rsidP="0051646C">
      <w:pPr>
        <w:pStyle w:val="Heading1"/>
      </w:pPr>
      <w:bookmarkStart w:id="1" w:name="O_744765"/>
      <w:bookmarkEnd w:id="1"/>
      <w:r w:rsidRPr="005164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516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46C" w:rsidP="0051646C">
            <w:pPr>
              <w:pStyle w:val="BodyText"/>
            </w:pPr>
            <w:r w:rsidRPr="0051646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46C">
            <w:pPr>
              <w:pStyle w:val="BodyText"/>
              <w:rPr>
                <w:lang w:val="en-NZ"/>
              </w:rPr>
            </w:pPr>
            <w:r w:rsidRPr="0051646C">
              <w:rPr>
                <w:rStyle w:val="SpecialBold"/>
              </w:rPr>
              <w:t>Comments</w:t>
            </w:r>
          </w:p>
        </w:tc>
      </w:tr>
      <w:tr w:rsidTr="00516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46C">
            <w:pPr>
              <w:pStyle w:val="BodyText"/>
              <w:rPr>
                <w:lang w:val="en-NZ"/>
              </w:rPr>
            </w:pPr>
            <w:r w:rsidRPr="0051646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46C" w:rsidP="0051646C">
            <w:pPr>
              <w:pStyle w:val="BodyText"/>
            </w:pPr>
            <w:r w:rsidRPr="0051646C">
              <w:t>Updated:</w:t>
            </w:r>
          </w:p>
          <w:p w:rsidR="00000000" w:rsidRPr="0051646C" w:rsidP="0051646C">
            <w:pPr>
              <w:pStyle w:val="ListBullet"/>
            </w:pPr>
            <w:r w:rsidRPr="0051646C">
              <w:t>assessor requirements statement</w:t>
            </w:r>
          </w:p>
          <w:p w:rsidR="00000000" w:rsidRPr="0051646C" w:rsidP="0051646C">
            <w:pPr>
              <w:pStyle w:val="ListBullet"/>
            </w:pPr>
            <w:r w:rsidRPr="0051646C">
              <w:t>foundation skills lead in statement</w:t>
            </w:r>
          </w:p>
          <w:p w:rsidR="00000000" w:rsidRPr="0051646C" w:rsidP="0051646C">
            <w:pPr>
              <w:pStyle w:val="ListBullet"/>
            </w:pPr>
            <w:r w:rsidRPr="0051646C">
              <w:t>licensing statement</w:t>
            </w:r>
          </w:p>
          <w:p w:rsidR="00000000" w:rsidRPr="0051646C" w:rsidP="0051646C">
            <w:pPr>
              <w:pStyle w:val="ListBullet"/>
            </w:pPr>
            <w:r w:rsidRPr="0051646C">
              <w:t>modification history to reflect 2012 standards</w:t>
            </w:r>
          </w:p>
          <w:p w:rsidR="00000000" w:rsidP="0051646C">
            <w:pPr>
              <w:pStyle w:val="BodyText"/>
              <w:rPr>
                <w:lang w:val="en-NZ"/>
              </w:rPr>
            </w:pPr>
            <w:r w:rsidRPr="0051646C">
              <w:t>Equivalent outcome.</w:t>
            </w:r>
          </w:p>
        </w:tc>
      </w:tr>
      <w:tr w:rsidTr="00516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46C">
            <w:pPr>
              <w:pStyle w:val="BodyText"/>
              <w:rPr>
                <w:lang w:val="en-NZ"/>
              </w:rPr>
            </w:pPr>
            <w:r w:rsidRPr="0051646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46C" w:rsidP="0051646C">
            <w:pPr>
              <w:pStyle w:val="BodyText"/>
            </w:pPr>
            <w:r w:rsidRPr="0051646C">
              <w:t xml:space="preserve">This version was released in </w:t>
            </w:r>
            <w:r w:rsidRPr="0051646C">
              <w:rPr>
                <w:rStyle w:val="Emphasis"/>
              </w:rPr>
              <w:t>HLT Health Training Package release 1.0</w:t>
            </w:r>
            <w:r w:rsidRPr="0051646C">
              <w:t xml:space="preserve"> and meets the requirements of the 2012 Standards for Training Packages.</w:t>
            </w:r>
          </w:p>
          <w:p w:rsidR="00000000" w:rsidRPr="0051646C" w:rsidP="0051646C">
            <w:pPr>
              <w:pStyle w:val="BodyText"/>
            </w:pPr>
            <w:r w:rsidRPr="0051646C">
              <w:t>Significant changes to elements and performance criteria.</w:t>
            </w:r>
            <w:r w:rsidRPr="0051646C">
              <w:br/>
              <w:t>New evidence requirements for assessment, including volume and environment requirements.</w:t>
            </w:r>
          </w:p>
        </w:tc>
      </w:tr>
    </w:tbl>
    <w:p w:rsidR="00000000" w:rsidRPr="0051646C" w:rsidP="0051646C">
      <w:pPr>
        <w:pStyle w:val="BodyText"/>
      </w:pPr>
    </w:p>
    <w:p w:rsidR="00000000" w:rsidRPr="0051646C" w:rsidP="0051646C">
      <w:pPr>
        <w:pStyle w:val="AllowPageBreak"/>
      </w:pPr>
    </w:p>
    <w:p w:rsidR="00000000" w:rsidRPr="0051646C" w:rsidP="0051646C">
      <w:pPr>
        <w:pStyle w:val="Heading1"/>
      </w:pPr>
      <w:bookmarkStart w:id="2" w:name="O_744764"/>
      <w:bookmarkEnd w:id="2"/>
      <w:r w:rsidRPr="0051646C">
        <w:t>Performance Evidence</w:t>
      </w:r>
    </w:p>
    <w:p w:rsidR="00000000" w:rsidRPr="0051646C" w:rsidP="00AE2FF1">
      <w:pPr>
        <w:pStyle w:val="BodyText"/>
      </w:pPr>
      <w:r w:rsidRPr="0051646C">
        <w:t>The candidate must show evidence of the ability to complete tasks out</w:t>
      </w:r>
      <w:r w:rsidRPr="0051646C">
        <w:t xml:space="preserve">lined in elements and performance criteria of this unit, manage tasks and manage contingencies in the context of the job role. </w:t>
      </w:r>
    </w:p>
    <w:p w:rsidR="00000000" w:rsidRPr="0051646C" w:rsidP="00AE2FF1">
      <w:pPr>
        <w:pStyle w:val="BodyText"/>
      </w:pPr>
      <w:r w:rsidRPr="0051646C">
        <w:t>There must be evidence that the candidate has:</w:t>
      </w:r>
    </w:p>
    <w:p w:rsidR="00000000" w:rsidRPr="0051646C" w:rsidP="0051646C">
      <w:pPr>
        <w:pStyle w:val="ListBullet"/>
      </w:pPr>
      <w:r w:rsidRPr="0051646C">
        <w:t>assessed and monitored the physical wellbeing of at least five Aboriginal and/</w:t>
      </w:r>
      <w:r w:rsidRPr="0051646C">
        <w:t>or Torres Strait Islander adults and children by: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establishing a relationship of trust with clients and significant others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taking a detailed history of the client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explaining assessment methods and procedures to client and/or significant others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observing and assessing client’s health, using appropriate tests and medical instrumentation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recording observations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questioning, assessing and monitoring client’s health status, issues and needs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reviewing effectiveness of health care strategies a</w:t>
      </w:r>
      <w:r w:rsidRPr="0051646C">
        <w:t>nd making appropriate revisions, taking prior history into consideration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summarising and presenting findings in line with client needs and workplace requirements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maintaining client records and upholding client confidentiality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communicating with clien</w:t>
      </w:r>
      <w:r w:rsidRPr="0051646C">
        <w:t>t’s family and/or significant others as required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gaining informed consent to conduct assessment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taking, considering and recording relevant details of client’s history (including body language)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complying with and enforcing infection control guidelines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using a structured approach to assessment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interpreting common pathology tests</w:t>
      </w:r>
    </w:p>
    <w:p w:rsidR="00AE2FF1" w:rsidP="0051646C">
      <w:pPr>
        <w:pStyle w:val="List2"/>
      </w:pPr>
      <w:r>
        <w:t>•</w:t>
      </w:r>
      <w:r>
        <w:tab/>
      </w:r>
      <w:r w:rsidRPr="0051646C">
        <w:t>taking full responsibility for assessment findings.</w:t>
      </w:r>
    </w:p>
    <w:p w:rsidR="00AE2FF1" w:rsidP="0051646C">
      <w:pPr>
        <w:pStyle w:val="List2"/>
      </w:pPr>
    </w:p>
    <w:p w:rsidR="00000000" w:rsidRPr="0051646C" w:rsidP="0051646C">
      <w:pPr>
        <w:pStyle w:val="Heading1"/>
      </w:pPr>
      <w:bookmarkStart w:id="3" w:name="O_744763"/>
      <w:bookmarkEnd w:id="3"/>
      <w:r w:rsidRPr="0051646C">
        <w:t>Knowledge Evidence</w:t>
      </w:r>
    </w:p>
    <w:p w:rsidR="00000000" w:rsidRPr="0051646C" w:rsidP="00AE2FF1">
      <w:pPr>
        <w:pStyle w:val="BodyText"/>
      </w:pPr>
      <w:r w:rsidRPr="0051646C">
        <w:t>The candidate must be able to demonstrate essential knowledge required to effectiv</w:t>
      </w:r>
      <w:r w:rsidRPr="0051646C">
        <w:t>ely do the task outlined in elements and performance criteria of this unit, manage the task and manage contingencies in the context of the identified work role.</w:t>
      </w:r>
    </w:p>
    <w:p w:rsidR="00000000" w:rsidRPr="0051646C" w:rsidP="00AE2FF1">
      <w:pPr>
        <w:pStyle w:val="BodyText"/>
      </w:pPr>
      <w:r w:rsidRPr="0051646C">
        <w:t>This includes knowledge of:</w:t>
      </w:r>
    </w:p>
    <w:p w:rsidR="00000000" w:rsidRPr="0051646C" w:rsidP="0051646C">
      <w:pPr>
        <w:pStyle w:val="ListBullet"/>
      </w:pPr>
      <w:r w:rsidRPr="0051646C">
        <w:t>organisational policies and procedures and legislation or regulati</w:t>
      </w:r>
      <w:r w:rsidRPr="0051646C">
        <w:t>ons relating to: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client confidentiality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referral, including various levels of urgency, and follow-up of client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mandatory reporting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notifiable communicable diseases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limits of own ability and authority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reporting procedures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documentation</w:t>
      </w:r>
    </w:p>
    <w:p w:rsidR="00000000" w:rsidRPr="0051646C" w:rsidP="0051646C">
      <w:pPr>
        <w:pStyle w:val="ListBullet"/>
      </w:pPr>
      <w:r w:rsidRPr="0051646C">
        <w:t>key elements of comprehensive and accurate physical, social/emotional and mental health assessment</w:t>
      </w:r>
    </w:p>
    <w:p w:rsidR="00000000" w:rsidRPr="0051646C" w:rsidP="0051646C">
      <w:pPr>
        <w:pStyle w:val="ListBullet"/>
      </w:pPr>
      <w:r w:rsidRPr="0051646C">
        <w:t>anatomy/physiology and associated microbiology, pathophysiology (disease processes) and pharmacology  including: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respiratory system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circulatory system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integumentary system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digestive system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genitourinary system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endocrine system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musculoskeletal system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nervous system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reproductive systems</w:t>
      </w:r>
    </w:p>
    <w:p w:rsidR="00000000" w:rsidRPr="0051646C" w:rsidP="0051646C">
      <w:pPr>
        <w:pStyle w:val="ListBullet"/>
      </w:pPr>
      <w:r w:rsidRPr="0051646C">
        <w:t>pathophysiology associated with these systems, including: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acute chronic condition and conditions as</w:t>
      </w:r>
      <w:r w:rsidRPr="0051646C">
        <w:t>sociated with a specific body system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injuries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wounds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arthritis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inflammation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impact of alcohol and drugs</w:t>
      </w:r>
    </w:p>
    <w:p w:rsidR="00000000" w:rsidRPr="0051646C" w:rsidP="0051646C">
      <w:pPr>
        <w:pStyle w:val="ListBullet"/>
      </w:pPr>
      <w:r w:rsidRPr="0051646C">
        <w:t>pharmacology to address pathophysiology, including: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medications and forms of administration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antibiotics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analgesics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contraindications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complications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psychiatric medications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oral hypoglycaemics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insulin</w:t>
      </w:r>
    </w:p>
    <w:p w:rsidR="00000000" w:rsidRPr="0051646C" w:rsidP="0051646C">
      <w:pPr>
        <w:pStyle w:val="ListBullet"/>
      </w:pPr>
      <w:r w:rsidRPr="0051646C">
        <w:t>procedures for health tests and ‘normal’ range of test outcomes, including: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blood pressure (for adults and children)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temperature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pulse rate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respiratory</w:t>
      </w:r>
      <w:r w:rsidRPr="0051646C">
        <w:t xml:space="preserve"> and peak flow rates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height and weight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components of urine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near vision and pinhole visual acuity testing</w:t>
      </w:r>
    </w:p>
    <w:p w:rsidR="00000000" w:rsidRPr="0051646C" w:rsidP="0051646C">
      <w:pPr>
        <w:pStyle w:val="ListBullet"/>
      </w:pPr>
      <w:r w:rsidRPr="0051646C">
        <w:t>visual examination of eye and ear</w:t>
      </w:r>
    </w:p>
    <w:p w:rsidR="00000000" w:rsidRPr="0051646C" w:rsidP="0051646C">
      <w:pPr>
        <w:pStyle w:val="ListBullet"/>
      </w:pPr>
      <w:r w:rsidRPr="0051646C">
        <w:t>blood glucose (sugar) and haemoglobin levels</w:t>
      </w:r>
    </w:p>
    <w:p w:rsidR="00000000" w:rsidRPr="0051646C" w:rsidP="0051646C">
      <w:pPr>
        <w:pStyle w:val="ListBullet"/>
      </w:pPr>
      <w:r w:rsidRPr="0051646C">
        <w:t>in relation to cardiovascular diseases: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the concept of ‘</w:t>
      </w:r>
      <w:r w:rsidRPr="0051646C">
        <w:t>cardiovascular risk factors’, the significance of an individual having multiple risk factors and the concept of ‘high absolute risk’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the importance of reduction of saturated fats and sugar-sweetened soft drinks, increased physical activity and smoking ce</w:t>
      </w:r>
      <w:r w:rsidRPr="0051646C">
        <w:t>ssation in reducing the risk of heart and kidney disease in Aboriginal and/or Torres Strait Islander populations</w:t>
      </w:r>
    </w:p>
    <w:p w:rsidR="00000000" w:rsidRPr="0051646C" w:rsidP="0051646C">
      <w:pPr>
        <w:pStyle w:val="ListBullet"/>
      </w:pPr>
      <w:r w:rsidRPr="0051646C">
        <w:t>in relation to diabetes mellitus: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basic pathophysiology of type II contrasted with type I diabetes mellitus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complications of diabetes (inc</w:t>
      </w:r>
      <w:r w:rsidRPr="0051646C">
        <w:t>luding heart disease and stroke; renal failure; retinal damage and blindness; nerve damage and infection resulting in amputation; impotence)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the main elements of the ‘diabetes check up’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the procedure for taking retinal photographs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basic anatomical fe</w:t>
      </w:r>
      <w:r w:rsidRPr="0051646C">
        <w:t>atures and abnormalities on a retinal photograph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the content of client education for diabetes covering diet, physical activity, foot-care, and use of diabetes medicines</w:t>
      </w:r>
    </w:p>
    <w:p w:rsidR="00000000" w:rsidRPr="0051646C" w:rsidP="0051646C">
      <w:pPr>
        <w:pStyle w:val="ListBullet"/>
      </w:pPr>
      <w:r w:rsidRPr="0051646C">
        <w:t>in relation to chronic renal disease: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basic pathophysiology of chronic renal failu</w:t>
      </w:r>
      <w:r w:rsidRPr="0051646C">
        <w:t>re (causes, body systems affected, natural history)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factors which may worsen or accelerate renal failure (including: high blood pressure, anti-inflammatory drugs, poor diabetes control, dehydration, high protein diet)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clinical features of advanced rena</w:t>
      </w:r>
      <w:r w:rsidRPr="0051646C">
        <w:t>l failure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the importance of early detection of renal disease in efforts to defer or prevent end-stage renal failure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options for treatment of end-stage renal failure (haemodialysis, chronic ambulatory peritoneal dialysis, transplant).</w:t>
      </w:r>
    </w:p>
    <w:p w:rsidR="00000000" w:rsidRPr="0051646C" w:rsidP="0051646C">
      <w:pPr>
        <w:pStyle w:val="ListBullet"/>
      </w:pPr>
      <w:r w:rsidRPr="0051646C">
        <w:t xml:space="preserve">familiarity with </w:t>
      </w:r>
      <w:r w:rsidRPr="0051646C">
        <w:t>a range of other common chronic conditions in Aboriginal and/or Torres Strait Islander populations: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chronic liver disease – causes, clinical features and principles of management (including hepatitis B, hepatitis C, alcoholic liver disease and cirrhosis)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chronic obstructive lung disease, relationship to smoking and principles of management</w:t>
      </w:r>
    </w:p>
    <w:p w:rsidR="00000000" w:rsidRPr="0051646C" w:rsidP="0051646C">
      <w:pPr>
        <w:pStyle w:val="ListBullet"/>
      </w:pPr>
      <w:r w:rsidRPr="0051646C">
        <w:t>basic nature, management and associated risk factors for common diseases</w:t>
      </w:r>
    </w:p>
    <w:p w:rsidR="00000000" w:rsidRPr="0051646C" w:rsidP="0051646C">
      <w:pPr>
        <w:pStyle w:val="ListBullet"/>
      </w:pPr>
      <w:r w:rsidRPr="0051646C">
        <w:t>commonly (including complete blood tests and urine analysis) and specifically requested pathology tests and the correct methods of collection, storage and transport of specimens</w:t>
      </w:r>
    </w:p>
    <w:p w:rsidR="00000000" w:rsidRPr="0051646C" w:rsidP="0051646C">
      <w:pPr>
        <w:pStyle w:val="ListBullet"/>
      </w:pPr>
      <w:r w:rsidRPr="0051646C">
        <w:t>the clinical significance of abnormal findings on pathology tests with particu</w:t>
      </w:r>
      <w:r w:rsidRPr="0051646C">
        <w:t>lar reference to use of medicines</w:t>
      </w:r>
    </w:p>
    <w:p w:rsidR="00000000" w:rsidRPr="0051646C" w:rsidP="0051646C">
      <w:pPr>
        <w:pStyle w:val="ListBullet"/>
      </w:pPr>
      <w:r w:rsidRPr="0051646C">
        <w:t>knowledge of care planning and self-management support tools</w:t>
      </w:r>
    </w:p>
    <w:p w:rsidR="00000000" w:rsidRPr="0051646C" w:rsidP="0051646C">
      <w:pPr>
        <w:pStyle w:val="ListBullet"/>
      </w:pPr>
      <w:r w:rsidRPr="0051646C">
        <w:t>relevant criteria for evaluation of effectiveness of care plan</w:t>
      </w:r>
    </w:p>
    <w:p w:rsidR="00000000" w:rsidRPr="0051646C" w:rsidP="0051646C">
      <w:pPr>
        <w:pStyle w:val="ListBullet"/>
      </w:pPr>
      <w:r w:rsidRPr="0051646C">
        <w:t>features of chronic illness, including: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complex causality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multiple risk factors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long latenc</w:t>
      </w:r>
      <w:r w:rsidRPr="0051646C">
        <w:t>y periods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a prolonged course of illness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functional impairment or disability</w:t>
      </w:r>
    </w:p>
    <w:p w:rsidR="00000000" w:rsidRPr="0051646C" w:rsidP="0051646C">
      <w:pPr>
        <w:pStyle w:val="ListBullet"/>
      </w:pPr>
      <w:r w:rsidRPr="0051646C">
        <w:t>specific chronic conditions affecting Aboriginal and/or Torres Strait Islander clients and communities, including: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cardiovascular disease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diabetes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cancer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chronic respi</w:t>
      </w:r>
      <w:r w:rsidRPr="0051646C">
        <w:t xml:space="preserve">ratory disease 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chronic kidney disease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asthma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arthritis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 xml:space="preserve">oral disease  </w:t>
      </w:r>
    </w:p>
    <w:p w:rsidR="00000000" w:rsidRPr="0051646C" w:rsidP="0051646C">
      <w:pPr>
        <w:pStyle w:val="ListBullet"/>
      </w:pPr>
      <w:r w:rsidRPr="0051646C">
        <w:t>determinants of chronic conditions, including: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smoking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physical activity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nutrition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alcohol intake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use of illicit drugs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obesity, weight and waist circumference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unsafe sexual practices</w:t>
      </w:r>
    </w:p>
    <w:p w:rsidR="00000000" w:rsidRPr="0051646C" w:rsidP="0051646C">
      <w:pPr>
        <w:pStyle w:val="List2"/>
      </w:pPr>
      <w:r>
        <w:t>•</w:t>
      </w:r>
      <w:r>
        <w:tab/>
      </w:r>
      <w:r w:rsidRPr="0051646C">
        <w:t>genetic factors</w:t>
      </w:r>
    </w:p>
    <w:p w:rsidR="00000000" w:rsidRPr="0051646C" w:rsidP="0051646C">
      <w:pPr>
        <w:pStyle w:val="ListBullet"/>
      </w:pPr>
      <w:r w:rsidRPr="0051646C">
        <w:t>linkages between conditions such as diabetes and eye health, nutrition and hearing, etc.</w:t>
      </w:r>
    </w:p>
    <w:p w:rsidR="00000000" w:rsidRPr="0051646C" w:rsidP="0051646C">
      <w:pPr>
        <w:pStyle w:val="AllowPageBreak"/>
      </w:pPr>
    </w:p>
    <w:p w:rsidR="00000000" w:rsidRPr="0051646C" w:rsidP="0051646C">
      <w:pPr>
        <w:pStyle w:val="Heading1"/>
      </w:pPr>
      <w:bookmarkStart w:id="4" w:name="O_744762"/>
      <w:bookmarkEnd w:id="4"/>
      <w:r w:rsidRPr="0051646C">
        <w:t>Assessment Conditions</w:t>
      </w:r>
    </w:p>
    <w:p w:rsidR="00000000" w:rsidRPr="0051646C" w:rsidP="00AE2FF1">
      <w:pPr>
        <w:pStyle w:val="BodyText"/>
      </w:pPr>
      <w:r w:rsidRPr="0051646C">
        <w:t>Skills must be demonstrated working:</w:t>
      </w:r>
    </w:p>
    <w:p w:rsidR="00000000" w:rsidRPr="0051646C" w:rsidP="0051646C">
      <w:pPr>
        <w:pStyle w:val="ListBullet"/>
      </w:pPr>
      <w:r w:rsidRPr="0051646C">
        <w:t>in a health service or centre</w:t>
      </w:r>
    </w:p>
    <w:p w:rsidR="00000000" w:rsidRPr="0051646C" w:rsidP="0051646C">
      <w:pPr>
        <w:pStyle w:val="ListBullet"/>
      </w:pPr>
      <w:r w:rsidRPr="0051646C">
        <w:t>as part of a m</w:t>
      </w:r>
      <w:r w:rsidRPr="0051646C">
        <w:t xml:space="preserve">ultidisciplinary primary health care team </w:t>
      </w:r>
    </w:p>
    <w:p w:rsidR="00000000" w:rsidRPr="0051646C" w:rsidP="0051646C">
      <w:pPr>
        <w:pStyle w:val="ListBullet"/>
      </w:pPr>
      <w:r w:rsidRPr="0051646C">
        <w:t xml:space="preserve">with Aboriginal and/or Torres Strait Islander clients and communities. </w:t>
      </w:r>
    </w:p>
    <w:p w:rsidR="00000000" w:rsidRPr="0051646C" w:rsidP="0051646C">
      <w:pPr>
        <w:pStyle w:val="BodyText"/>
      </w:pPr>
    </w:p>
    <w:p w:rsidR="00000000" w:rsidRPr="0051646C" w:rsidP="00AE2FF1">
      <w:pPr>
        <w:pStyle w:val="BodyText"/>
      </w:pPr>
      <w:r w:rsidRPr="0051646C">
        <w:t>In addition, simulations and scenarios must be used where the full range of contexts and situations cannot be provided in the workplace or m</w:t>
      </w:r>
      <w:r w:rsidRPr="0051646C">
        <w:t xml:space="preserve">ay occur only rarely. These are situations relating to emergency or unplanned procedures where assessment in these circumstances would be unsafe or is impractical. </w:t>
      </w:r>
    </w:p>
    <w:p w:rsidR="00000000" w:rsidRPr="0051646C" w:rsidP="00AE2FF1">
      <w:pPr>
        <w:pStyle w:val="BodyText"/>
      </w:pPr>
      <w:r w:rsidRPr="0051646C">
        <w:t>Simulated assessment environments must simulate the real-life working environment where th</w:t>
      </w:r>
      <w:r w:rsidRPr="0051646C">
        <w:t>ese skills and knowledge would be performed, with all the relevant equipment and resources of that working environment.</w:t>
      </w:r>
    </w:p>
    <w:p w:rsidR="00000000" w:rsidRPr="0051646C" w:rsidP="00AE2FF1">
      <w:pPr>
        <w:pStyle w:val="BodyText"/>
      </w:pPr>
      <w:r w:rsidRPr="0051646C">
        <w:t>This may include medical equipment including but not limited to haemoglobin meter, tape measure, sphygmomanometer, scales, thermometers, glucometer, peak expiratory flow rate meters.</w:t>
      </w:r>
    </w:p>
    <w:p w:rsidR="00000000" w:rsidRPr="0051646C" w:rsidP="00AE2FF1">
      <w:pPr>
        <w:pStyle w:val="BodyText"/>
      </w:pPr>
      <w:r w:rsidRPr="0051646C">
        <w:t>Assessors must satisfy the Standards for Registered Training Organisatio</w:t>
      </w:r>
      <w:r w:rsidRPr="0051646C">
        <w:t>ns (RTOs) 2015/AQTF mandatory competency requirements for assessors.</w:t>
      </w:r>
    </w:p>
    <w:p w:rsidR="00000000" w:rsidRPr="0051646C" w:rsidP="00AE2FF1">
      <w:pPr>
        <w:pStyle w:val="BodyText"/>
      </w:pPr>
      <w:r w:rsidRPr="0051646C">
        <w:t>Assessment must be undertaken by a workplace assessor who has expertise in this unit of competency and who is:</w:t>
      </w:r>
    </w:p>
    <w:p w:rsidR="00000000" w:rsidRPr="0051646C" w:rsidP="00AE2FF1">
      <w:pPr>
        <w:pStyle w:val="BodyText"/>
      </w:pPr>
      <w:r w:rsidRPr="0051646C">
        <w:t>an Aboriginal and/or Torres Strait Islander Health Worker</w:t>
      </w:r>
      <w:r>
        <w:t xml:space="preserve"> </w:t>
      </w:r>
      <w:r w:rsidRPr="0051646C">
        <w:t>or:</w:t>
      </w:r>
    </w:p>
    <w:p w:rsidR="00000000" w:rsidRPr="0051646C" w:rsidP="0051646C">
      <w:pPr>
        <w:pStyle w:val="ListBullet"/>
      </w:pPr>
      <w:r w:rsidRPr="0051646C">
        <w:t>accompanied</w:t>
      </w:r>
      <w:r w:rsidRPr="0051646C">
        <w:t xml:space="preserve"> by an Aboriginal and/or Torres Strait Islander person who is a recognised member of the community with experience in primary health care.</w:t>
      </w:r>
    </w:p>
    <w:p w:rsidR="00000000" w:rsidRPr="0051646C" w:rsidP="0051646C">
      <w:pPr>
        <w:pStyle w:val="AllowPageBreak"/>
      </w:pPr>
    </w:p>
    <w:p w:rsidR="00000000" w:rsidRPr="0051646C" w:rsidP="0051646C">
      <w:pPr>
        <w:pStyle w:val="Heading1"/>
      </w:pPr>
      <w:bookmarkStart w:id="5" w:name="O_744773"/>
      <w:bookmarkEnd w:id="5"/>
      <w:r w:rsidRPr="0051646C">
        <w:t>Links</w:t>
      </w:r>
    </w:p>
    <w:p w:rsidR="00000000" w:rsidRPr="0051646C" w:rsidP="00AE2FF1">
      <w:pPr>
        <w:pStyle w:val="BodyText"/>
      </w:pPr>
      <w:r w:rsidRPr="005164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E215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1646C" w:rsidP="0051646C"/>
    <w:sectPr w:rsidSect="005164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46C" w:rsidRPr="00AE2FF1" w:rsidP="00AE2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F1" w:rsidP="00516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2FF1" w:rsidP="00516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E2FF1" w:rsidP="00516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46C" w:rsidRPr="00AE2FF1" w:rsidP="00AE2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F1" w:rsidRPr="002D2AF8" w:rsidP="00516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HLTAHW016 Assess client's physical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AE2FF1" w:rsidP="00516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0A5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782A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46C"/>
  </w:style>
  <w:style w:type="character" w:customStyle="1" w:styleId="Heading1Char">
    <w:name w:val="Heading 1 Char"/>
    <w:basedOn w:val="DefaultParagraphFont"/>
    <w:link w:val="Heading1"/>
    <w:rsid w:val="00516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64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46C"/>
    <w:rPr>
      <w:b/>
      <w:spacing w:val="0"/>
    </w:rPr>
  </w:style>
  <w:style w:type="character" w:styleId="Emphasis">
    <w:name w:val="Emphasis"/>
    <w:basedOn w:val="DefaultParagraphFont"/>
    <w:qFormat/>
    <w:rsid w:val="0051646C"/>
    <w:rPr>
      <w:i/>
    </w:rPr>
  </w:style>
  <w:style w:type="paragraph" w:customStyle="1" w:styleId="SuperHeading">
    <w:name w:val="SuperHeading"/>
    <w:basedOn w:val="Normal"/>
    <w:rsid w:val="00516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1646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16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6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4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4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6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46C"/>
  </w:style>
  <w:style w:type="paragraph" w:styleId="TableofFigures">
    <w:name w:val="table of figures"/>
    <w:basedOn w:val="Normal"/>
    <w:next w:val="Normal"/>
    <w:semiHidden/>
    <w:rsid w:val="00516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4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646C"/>
    <w:rPr>
      <w:rFonts w:ascii="Wingdings" w:hAnsi="Wingdings"/>
    </w:rPr>
  </w:style>
  <w:style w:type="paragraph" w:customStyle="1" w:styleId="TableHeading">
    <w:name w:val="Table Heading"/>
    <w:basedOn w:val="HeadingBase"/>
    <w:rsid w:val="00516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46C"/>
    <w:rPr>
      <w:color w:val="0033CC"/>
      <w:u w:val="none"/>
    </w:rPr>
  </w:style>
  <w:style w:type="paragraph" w:customStyle="1" w:styleId="BodyTextRight">
    <w:name w:val="Body Text Right"/>
    <w:basedOn w:val="BodyText"/>
    <w:rsid w:val="00516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4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46C"/>
    <w:rPr>
      <w:sz w:val="32"/>
    </w:rPr>
  </w:style>
  <w:style w:type="paragraph" w:customStyle="1" w:styleId="HeadingProcedure">
    <w:name w:val="Heading Procedure"/>
    <w:basedOn w:val="HeadingBase"/>
    <w:next w:val="Normal"/>
    <w:rsid w:val="00516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46C"/>
    <w:pPr>
      <w:spacing w:before="60" w:after="60"/>
    </w:pPr>
  </w:style>
  <w:style w:type="paragraph" w:styleId="ListContinue">
    <w:name w:val="List Continue"/>
    <w:basedOn w:val="List"/>
    <w:rsid w:val="0051646C"/>
    <w:pPr>
      <w:ind w:firstLine="0"/>
    </w:pPr>
  </w:style>
  <w:style w:type="paragraph" w:customStyle="1" w:styleId="ListNote">
    <w:name w:val="List Note"/>
    <w:basedOn w:val="List"/>
    <w:rsid w:val="00516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46C"/>
    <w:rPr>
      <w:rFonts w:ascii="Courier New" w:hAnsi="Courier New"/>
    </w:rPr>
  </w:style>
  <w:style w:type="paragraph" w:customStyle="1" w:styleId="NoteBullet">
    <w:name w:val="Note Bullet"/>
    <w:basedOn w:val="Note"/>
    <w:rsid w:val="00516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4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6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46C"/>
    <w:rPr>
      <w:b/>
      <w:smallCaps/>
    </w:rPr>
  </w:style>
  <w:style w:type="paragraph" w:customStyle="1" w:styleId="TableListNumber">
    <w:name w:val="Table List Number"/>
    <w:basedOn w:val="ListNumber"/>
    <w:rsid w:val="00516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46C"/>
    <w:pPr>
      <w:numPr>
        <w:numId w:val="8"/>
      </w:numPr>
    </w:pPr>
  </w:style>
  <w:style w:type="paragraph" w:customStyle="1" w:styleId="ListAlpha2">
    <w:name w:val="List Alpha 2"/>
    <w:basedOn w:val="List2"/>
    <w:rsid w:val="0051646C"/>
    <w:pPr>
      <w:numPr>
        <w:numId w:val="7"/>
      </w:numPr>
    </w:pPr>
  </w:style>
  <w:style w:type="paragraph" w:styleId="List3">
    <w:name w:val="List 3"/>
    <w:basedOn w:val="BodyText"/>
    <w:rsid w:val="00516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4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4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646C"/>
    <w:pPr>
      <w:numPr>
        <w:numId w:val="3"/>
      </w:numPr>
    </w:pPr>
  </w:style>
  <w:style w:type="paragraph" w:styleId="ListContinue2">
    <w:name w:val="List Continue 2"/>
    <w:basedOn w:val="List2"/>
    <w:rsid w:val="0051646C"/>
    <w:pPr>
      <w:ind w:firstLine="0"/>
    </w:pPr>
  </w:style>
  <w:style w:type="paragraph" w:styleId="ListContinue3">
    <w:name w:val="List Continue 3"/>
    <w:basedOn w:val="List3"/>
    <w:rsid w:val="0051646C"/>
    <w:pPr>
      <w:ind w:left="1021" w:firstLine="0"/>
    </w:pPr>
  </w:style>
  <w:style w:type="paragraph" w:styleId="ListContinue4">
    <w:name w:val="List Continue 4"/>
    <w:basedOn w:val="List4"/>
    <w:rsid w:val="0051646C"/>
    <w:pPr>
      <w:ind w:firstLine="0"/>
    </w:pPr>
  </w:style>
  <w:style w:type="paragraph" w:styleId="ListContinue5">
    <w:name w:val="List Continue 5"/>
    <w:basedOn w:val="List5"/>
    <w:rsid w:val="0051646C"/>
    <w:pPr>
      <w:ind w:firstLine="0"/>
    </w:pPr>
  </w:style>
  <w:style w:type="paragraph" w:styleId="ListNumber3">
    <w:name w:val="List Number 3"/>
    <w:basedOn w:val="List3"/>
    <w:rsid w:val="0051646C"/>
    <w:pPr>
      <w:numPr>
        <w:numId w:val="4"/>
      </w:numPr>
    </w:pPr>
  </w:style>
  <w:style w:type="paragraph" w:styleId="ListNumber4">
    <w:name w:val="List Number 4"/>
    <w:basedOn w:val="List4"/>
    <w:rsid w:val="0051646C"/>
    <w:pPr>
      <w:numPr>
        <w:numId w:val="5"/>
      </w:numPr>
    </w:pPr>
  </w:style>
  <w:style w:type="paragraph" w:styleId="ListNumber5">
    <w:name w:val="List Number 5"/>
    <w:basedOn w:val="List5"/>
    <w:rsid w:val="0051646C"/>
    <w:pPr>
      <w:numPr>
        <w:numId w:val="6"/>
      </w:numPr>
    </w:pPr>
  </w:style>
  <w:style w:type="paragraph" w:styleId="BlockText">
    <w:name w:val="Block Text"/>
    <w:basedOn w:val="Normal"/>
    <w:rsid w:val="00516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46C"/>
    <w:rPr>
      <w:sz w:val="16"/>
      <w:vertAlign w:val="superscript"/>
    </w:rPr>
  </w:style>
  <w:style w:type="character" w:customStyle="1" w:styleId="Symbols">
    <w:name w:val="Symbols"/>
    <w:basedOn w:val="DefaultParagraphFont"/>
    <w:rsid w:val="0051646C"/>
    <w:rPr>
      <w:rFonts w:ascii="Symbol" w:hAnsi="Symbol"/>
    </w:rPr>
  </w:style>
  <w:style w:type="character" w:customStyle="1" w:styleId="MenuOptions">
    <w:name w:val="Menu Options"/>
    <w:basedOn w:val="DefaultParagraphFont"/>
    <w:rsid w:val="00516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46C"/>
    <w:rPr>
      <w:b/>
    </w:rPr>
  </w:style>
  <w:style w:type="character" w:customStyle="1" w:styleId="Underlined">
    <w:name w:val="Underlined"/>
    <w:basedOn w:val="DefaultParagraphFont"/>
    <w:rsid w:val="0051646C"/>
    <w:rPr>
      <w:u w:val="single"/>
    </w:rPr>
  </w:style>
  <w:style w:type="paragraph" w:customStyle="1" w:styleId="TableBodyTextRight">
    <w:name w:val="Table Body Text Right"/>
    <w:basedOn w:val="TableBodyText"/>
    <w:rsid w:val="00516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46C"/>
    <w:rPr>
      <w:sz w:val="18"/>
    </w:rPr>
  </w:style>
  <w:style w:type="paragraph" w:customStyle="1" w:styleId="BodySmallRight">
    <w:name w:val="Body Small Right"/>
    <w:basedOn w:val="BodyTextRight"/>
    <w:rsid w:val="0051646C"/>
    <w:rPr>
      <w:sz w:val="18"/>
      <w:szCs w:val="18"/>
    </w:rPr>
  </w:style>
  <w:style w:type="paragraph" w:customStyle="1" w:styleId="MarginEdition">
    <w:name w:val="Margin Edition"/>
    <w:basedOn w:val="MarginNote"/>
    <w:rsid w:val="00516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46C"/>
    <w:rPr>
      <w:sz w:val="2"/>
      <w:szCs w:val="2"/>
    </w:rPr>
  </w:style>
  <w:style w:type="character" w:customStyle="1" w:styleId="Small">
    <w:name w:val="Small"/>
    <w:basedOn w:val="DefaultParagraphFont"/>
    <w:rsid w:val="0051646C"/>
    <w:rPr>
      <w:sz w:val="16"/>
    </w:rPr>
  </w:style>
  <w:style w:type="paragraph" w:customStyle="1" w:styleId="WideTable">
    <w:name w:val="Wide Table"/>
    <w:basedOn w:val="Normal"/>
    <w:rsid w:val="00516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46C"/>
  </w:style>
  <w:style w:type="paragraph" w:styleId="Quote">
    <w:name w:val="Quote"/>
    <w:basedOn w:val="Heading1"/>
    <w:link w:val="QuoteChar"/>
    <w:qFormat/>
    <w:rsid w:val="00516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46C"/>
    <w:pPr>
      <w:pageBreakBefore/>
    </w:pPr>
  </w:style>
  <w:style w:type="paragraph" w:customStyle="1" w:styleId="Border">
    <w:name w:val="Border"/>
    <w:basedOn w:val="Normal"/>
    <w:qFormat/>
    <w:rsid w:val="00516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46C"/>
    <w:rPr>
      <w:u w:val="single"/>
    </w:rPr>
  </w:style>
  <w:style w:type="character" w:customStyle="1" w:styleId="BoldandItalics">
    <w:name w:val="Bold and Italics"/>
    <w:qFormat/>
    <w:rsid w:val="0051646C"/>
    <w:rPr>
      <w:b/>
      <w:i/>
      <w:u w:val="none"/>
    </w:rPr>
  </w:style>
  <w:style w:type="paragraph" w:styleId="BalloonText">
    <w:name w:val="Balloon Text"/>
    <w:basedOn w:val="Normal"/>
    <w:link w:val="BalloonTextChar"/>
    <w:rsid w:val="00516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46C"/>
    <w:pPr>
      <w:spacing w:before="0" w:after="0"/>
    </w:pPr>
  </w:style>
  <w:style w:type="paragraph" w:customStyle="1" w:styleId="BodyTextBold">
    <w:name w:val="Body Text Bold"/>
    <w:basedOn w:val="BodyText"/>
    <w:qFormat/>
    <w:rsid w:val="0051646C"/>
    <w:rPr>
      <w:b/>
    </w:rPr>
  </w:style>
  <w:style w:type="character" w:styleId="Hyperlink">
    <w:name w:val="Hyperlink"/>
    <w:basedOn w:val="DefaultParagraphFont"/>
    <w:uiPriority w:val="99"/>
    <w:unhideWhenUsed/>
    <w:rsid w:val="00AE2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1228</Words>
  <Characters>7606</Characters>
  <Application>Microsoft Office Word</Application>
  <DocSecurity>0</DocSecurity>
  <Lines>211</Lines>
  <Paragraphs>173</Paragraphs>
  <ScaleCrop>false</ScaleCrop>
  <Company>Author-it Software Corporation Ltd.</Company>
  <LinksUpToDate>false</LinksUpToDate>
  <CharactersWithSpaces>8661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HLTAHW016 Assess client's physical wellbeing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2022-11-24T14:05:00Z</dcterms:created>
  <dcterms:modified xsi:type="dcterms:W3CDTF">2022-11-24T14:05:00Z</dcterms:modified>
</cp:coreProperties>
</file>