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A04" w:rsidP="00F07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HLTAHPR006 Provide healthy lifestyle information</w:t>
      </w:r>
      <w:r>
        <w:fldChar w:fldCharType="end"/>
      </w:r>
    </w:p>
    <w:p w:rsidR="00F07A04" w:rsidP="00F07A04">
      <w:pPr>
        <w:pStyle w:val="Version"/>
        <w:sectPr w:rsidSect="00EE0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65D" w:rsidP="00EE065D">
      <w:pPr>
        <w:pStyle w:val="SuperHeading"/>
      </w:pPr>
      <w:r w:rsidRPr="00EE065D">
        <w:t>Assessment Requirements for HLTAHPR006 Provide healthy lifestyle information</w:t>
      </w:r>
    </w:p>
    <w:p w:rsidR="00000000" w:rsidRPr="00EE065D" w:rsidP="00EE065D">
      <w:pPr>
        <w:pStyle w:val="Heading1"/>
      </w:pPr>
      <w:bookmarkStart w:id="1" w:name="O_1278641"/>
      <w:bookmarkEnd w:id="1"/>
      <w:r w:rsidRPr="00EE065D">
        <w:t>Modification History</w:t>
      </w:r>
    </w:p>
    <w:p w:rsidR="00000000" w:rsidRPr="00EE065D" w:rsidP="00F07A04">
      <w:pPr>
        <w:pStyle w:val="BodyText"/>
      </w:pPr>
      <w:r w:rsidRPr="00EE065D">
        <w:t>Not applicable.</w:t>
      </w:r>
    </w:p>
    <w:p w:rsidR="00000000" w:rsidRPr="00EE065D" w:rsidP="00EE065D">
      <w:pPr>
        <w:pStyle w:val="Heading1"/>
      </w:pPr>
      <w:bookmarkStart w:id="2" w:name="O_1278642"/>
      <w:bookmarkEnd w:id="2"/>
      <w:r w:rsidRPr="00EE065D">
        <w:t>Performance Evidence</w:t>
      </w:r>
    </w:p>
    <w:p w:rsidR="00000000" w:rsidRPr="00EE065D" w:rsidP="00F07A04">
      <w:pPr>
        <w:pStyle w:val="BodyText"/>
      </w:pPr>
      <w:r w:rsidRPr="00EE065D">
        <w:t>Evidence of the ability to comple</w:t>
      </w:r>
      <w:r w:rsidRPr="00EE065D">
        <w:t>te tasks outlined in elements and performance criteria of this unit in the context of the job role, and:</w:t>
      </w:r>
    </w:p>
    <w:p w:rsidR="00000000" w:rsidRPr="00EE065D" w:rsidP="00EE065D">
      <w:pPr>
        <w:pStyle w:val="ListBullet"/>
      </w:pPr>
      <w:r w:rsidRPr="00EE065D">
        <w:t>provide healthy lifestyle information to three different Aboriginal and/or Torres Strait Islander clients including:</w:t>
      </w:r>
    </w:p>
    <w:p w:rsidR="00000000" w:rsidRPr="00EE065D" w:rsidP="00EE065D">
      <w:pPr>
        <w:pStyle w:val="ListBullet2"/>
      </w:pPr>
      <w:r w:rsidRPr="00EE065D">
        <w:t>a child over the age of 5</w:t>
      </w:r>
    </w:p>
    <w:p w:rsidR="00000000" w:rsidRPr="00EE065D" w:rsidP="00EE065D">
      <w:pPr>
        <w:pStyle w:val="ListBullet2"/>
      </w:pPr>
      <w:r w:rsidRPr="00EE065D">
        <w:t>an adu</w:t>
      </w:r>
      <w:r w:rsidRPr="00EE065D">
        <w:t>lt</w:t>
      </w:r>
    </w:p>
    <w:p w:rsidR="00000000" w:rsidRPr="00EE065D" w:rsidP="00EE065D">
      <w:pPr>
        <w:pStyle w:val="ListBullet2"/>
      </w:pPr>
      <w:r w:rsidRPr="00EE065D">
        <w:t>an older person</w:t>
      </w:r>
    </w:p>
    <w:p w:rsidR="00000000" w:rsidRPr="00EE065D" w:rsidP="00EE065D">
      <w:pPr>
        <w:pStyle w:val="ListBullet"/>
      </w:pPr>
      <w:r w:rsidRPr="00EE065D">
        <w:t>provide the following information to each client, tailored to their individual needs:</w:t>
      </w:r>
    </w:p>
    <w:p w:rsidR="00000000" w:rsidRPr="00EE065D" w:rsidP="00EE065D">
      <w:pPr>
        <w:pStyle w:val="ListBullet2"/>
      </w:pPr>
      <w:r w:rsidRPr="00EE065D">
        <w:t>healthy eating information from the Australian national dietary guidelines including:</w:t>
      </w:r>
    </w:p>
    <w:p w:rsidR="00000000" w:rsidRPr="00EE065D" w:rsidP="00EE065D">
      <w:pPr>
        <w:pStyle w:val="ListBullet3"/>
      </w:pPr>
      <w:r w:rsidRPr="00EE065D">
        <w:t xml:space="preserve">the five food groups and their recommended proportional daily </w:t>
      </w:r>
      <w:r w:rsidRPr="00EE065D">
        <w:t>intakes</w:t>
      </w:r>
    </w:p>
    <w:p w:rsidR="00000000" w:rsidRPr="00EE065D" w:rsidP="00EE065D">
      <w:pPr>
        <w:pStyle w:val="ListBullet3"/>
      </w:pPr>
      <w:r w:rsidRPr="00EE065D">
        <w:t>discretionary foods that should be eaten only sometimes and in small amounts</w:t>
      </w:r>
    </w:p>
    <w:p w:rsidR="00000000" w:rsidRPr="00EE065D" w:rsidP="00EE065D">
      <w:pPr>
        <w:pStyle w:val="ListBullet2"/>
      </w:pPr>
      <w:r w:rsidRPr="00EE065D">
        <w:t>recommendations for physical activity based on the Australian national physical activity guidelines</w:t>
      </w:r>
    </w:p>
    <w:p w:rsidR="00000000" w:rsidRPr="00EE065D" w:rsidP="00EE065D">
      <w:pPr>
        <w:pStyle w:val="ListBullet2"/>
      </w:pPr>
      <w:r w:rsidRPr="00EE065D">
        <w:t>one available support service and how to access the support service.</w:t>
      </w:r>
    </w:p>
    <w:p w:rsidR="00000000" w:rsidRPr="00EE065D" w:rsidP="00EE065D">
      <w:pPr>
        <w:pStyle w:val="AllowPageBreak"/>
      </w:pPr>
    </w:p>
    <w:p w:rsidR="00000000" w:rsidRPr="00EE065D" w:rsidP="00EE065D">
      <w:pPr>
        <w:pStyle w:val="Heading1"/>
      </w:pPr>
      <w:bookmarkStart w:id="3" w:name="O_1278643"/>
      <w:bookmarkEnd w:id="3"/>
      <w:r w:rsidRPr="00EE065D">
        <w:t>Knowledge Evidence</w:t>
      </w:r>
    </w:p>
    <w:p w:rsidR="00000000" w:rsidRPr="00EE065D" w:rsidP="00F07A04">
      <w:pPr>
        <w:pStyle w:val="BodyText"/>
      </w:pPr>
      <w:r w:rsidRPr="00EE065D">
        <w:t>Demonstrated knowledge required to complete the tasks outlined in elements and performance criteria of this unit:</w:t>
      </w:r>
    </w:p>
    <w:p w:rsidR="00000000" w:rsidRPr="00EE065D" w:rsidP="00EE065D">
      <w:pPr>
        <w:pStyle w:val="ListBullet"/>
      </w:pPr>
      <w:r w:rsidRPr="00EE065D">
        <w:t>organisational procedures for referral</w:t>
      </w:r>
    </w:p>
    <w:p w:rsidR="00000000" w:rsidRPr="00EE065D" w:rsidP="00EE065D">
      <w:pPr>
        <w:pStyle w:val="ListBullet"/>
      </w:pPr>
      <w:r w:rsidRPr="00EE065D">
        <w:t>role and limitations of Aboriginal and</w:t>
      </w:r>
      <w:r w:rsidRPr="00EE065D">
        <w:t>/or Torres Strait Islander health workers and practitioners in providing nutritional and physical activity information and advice to clients</w:t>
      </w:r>
    </w:p>
    <w:p w:rsidR="00000000" w:rsidRPr="00EE065D" w:rsidP="00EE065D">
      <w:pPr>
        <w:pStyle w:val="ListBullet"/>
      </w:pPr>
      <w:r w:rsidRPr="00EE065D">
        <w:t>roles of medical and allied health professionals in providing nutritional and physical activity advice and their ex</w:t>
      </w:r>
      <w:r w:rsidRPr="00EE065D">
        <w:t>pertise in addressing different needs:</w:t>
      </w:r>
    </w:p>
    <w:p w:rsidR="00000000" w:rsidRPr="00EE065D" w:rsidP="00EE065D">
      <w:pPr>
        <w:pStyle w:val="ListBullet2"/>
      </w:pPr>
      <w:r w:rsidRPr="00EE065D">
        <w:t>medical practitioners</w:t>
      </w:r>
    </w:p>
    <w:p w:rsidR="00000000" w:rsidRPr="00EE065D" w:rsidP="00EE065D">
      <w:pPr>
        <w:pStyle w:val="ListBullet2"/>
      </w:pPr>
      <w:r w:rsidRPr="00EE065D">
        <w:t>registered nurses and midwives</w:t>
      </w:r>
    </w:p>
    <w:p w:rsidR="00000000" w:rsidRPr="00EE065D" w:rsidP="00EE065D">
      <w:pPr>
        <w:pStyle w:val="ListBullet2"/>
      </w:pPr>
      <w:r w:rsidRPr="00EE065D">
        <w:t>accredited practising dietitians</w:t>
      </w:r>
    </w:p>
    <w:p w:rsidR="00000000" w:rsidRPr="00EE065D" w:rsidP="00EE065D">
      <w:pPr>
        <w:pStyle w:val="ListBullet2"/>
      </w:pPr>
      <w:r w:rsidRPr="00EE065D">
        <w:t>exercise physiologists</w:t>
      </w:r>
    </w:p>
    <w:p w:rsidR="00000000" w:rsidRPr="00EE065D" w:rsidP="00EE065D">
      <w:pPr>
        <w:pStyle w:val="ListBullet"/>
      </w:pPr>
      <w:r w:rsidRPr="00EE065D">
        <w:t>nutritional and physical activity support services available in the community, state or territory</w:t>
      </w:r>
    </w:p>
    <w:p w:rsidR="00000000" w:rsidRPr="00EE065D" w:rsidP="00EE065D">
      <w:pPr>
        <w:pStyle w:val="ListBullet"/>
      </w:pPr>
      <w:r w:rsidRPr="00EE065D">
        <w:t>physical</w:t>
      </w:r>
      <w:r w:rsidRPr="00EE065D">
        <w:t xml:space="preserve"> activity groups operating in the local community</w:t>
      </w:r>
    </w:p>
    <w:p w:rsidR="00000000" w:rsidRPr="00EE065D" w:rsidP="00EE065D">
      <w:pPr>
        <w:pStyle w:val="ListBullet"/>
      </w:pPr>
      <w:r w:rsidRPr="00EE065D">
        <w:t>how nutritional and physical activity needs differ for special population clients, and characteristics of clients with specific nutritional and physical activity needs who may require referral for specialis</w:t>
      </w:r>
      <w:r w:rsidRPr="00EE065D">
        <w:t>t advice:</w:t>
      </w:r>
    </w:p>
    <w:p w:rsidR="00000000" w:rsidRPr="00EE065D" w:rsidP="00EE065D">
      <w:pPr>
        <w:pStyle w:val="ListBullet2"/>
      </w:pPr>
      <w:r w:rsidRPr="00EE065D">
        <w:t>those with:</w:t>
      </w:r>
    </w:p>
    <w:p w:rsidR="00000000" w:rsidRPr="00EE065D" w:rsidP="00EE065D">
      <w:pPr>
        <w:pStyle w:val="ListBullet3"/>
      </w:pPr>
      <w:r w:rsidRPr="00EE065D">
        <w:t>chronic conditions</w:t>
      </w:r>
    </w:p>
    <w:p w:rsidR="00000000" w:rsidRPr="00EE065D" w:rsidP="00EE065D">
      <w:pPr>
        <w:pStyle w:val="ListBullet3"/>
      </w:pPr>
      <w:r w:rsidRPr="00EE065D">
        <w:t>oral health problems</w:t>
      </w:r>
    </w:p>
    <w:p w:rsidR="00000000" w:rsidRPr="00EE065D" w:rsidP="00EE065D">
      <w:pPr>
        <w:pStyle w:val="ListBullet3"/>
      </w:pPr>
      <w:r w:rsidRPr="00EE065D">
        <w:t>physical injuries and disabilities</w:t>
      </w:r>
    </w:p>
    <w:p w:rsidR="00000000" w:rsidRPr="00EE065D" w:rsidP="00EE065D">
      <w:pPr>
        <w:pStyle w:val="ListBullet2"/>
      </w:pPr>
      <w:r w:rsidRPr="00EE065D">
        <w:t>the frail elderly</w:t>
      </w:r>
    </w:p>
    <w:p w:rsidR="00000000" w:rsidRPr="00EE065D" w:rsidP="00EE065D">
      <w:pPr>
        <w:pStyle w:val="ListBullet2"/>
      </w:pPr>
      <w:r w:rsidRPr="00EE065D">
        <w:t>pregnant and breastfeeding women</w:t>
      </w:r>
    </w:p>
    <w:p w:rsidR="00000000" w:rsidRPr="00EE065D" w:rsidP="00EE065D">
      <w:pPr>
        <w:pStyle w:val="ListBullet2"/>
      </w:pPr>
      <w:r w:rsidRPr="00EE065D">
        <w:t>infants</w:t>
      </w:r>
    </w:p>
    <w:p w:rsidR="00000000" w:rsidRPr="00EE065D" w:rsidP="00EE065D">
      <w:pPr>
        <w:pStyle w:val="ListBullet2"/>
      </w:pPr>
      <w:r w:rsidRPr="00EE065D">
        <w:t>clients who show signs of:</w:t>
      </w:r>
    </w:p>
    <w:p w:rsidR="00000000" w:rsidRPr="00EE065D" w:rsidP="00EE065D">
      <w:pPr>
        <w:pStyle w:val="ListBullet3"/>
      </w:pPr>
      <w:r w:rsidRPr="00EE065D">
        <w:t>having an eating disorder</w:t>
      </w:r>
    </w:p>
    <w:p w:rsidR="00000000" w:rsidRPr="00EE065D" w:rsidP="00EE065D">
      <w:pPr>
        <w:pStyle w:val="ListBullet3"/>
      </w:pPr>
      <w:r w:rsidRPr="00EE065D">
        <w:t>malnutrition</w:t>
      </w:r>
    </w:p>
    <w:p w:rsidR="00000000" w:rsidRPr="00EE065D" w:rsidP="00EE065D">
      <w:pPr>
        <w:pStyle w:val="ListBullet3"/>
      </w:pPr>
      <w:r w:rsidRPr="00EE065D">
        <w:t>obesity</w:t>
      </w:r>
    </w:p>
    <w:p w:rsidR="00000000" w:rsidRPr="00EE065D" w:rsidP="00EE065D">
      <w:pPr>
        <w:pStyle w:val="ListBullet"/>
      </w:pPr>
      <w:r w:rsidRPr="00EE065D">
        <w:t>risks to clients of providing inappropriate nutrition-related advice:</w:t>
      </w:r>
    </w:p>
    <w:p w:rsidR="00000000" w:rsidRPr="00EE065D" w:rsidP="00EE065D">
      <w:pPr>
        <w:pStyle w:val="ListBullet2"/>
      </w:pPr>
      <w:r w:rsidRPr="00EE065D">
        <w:t>nutrient deficiencies and imbalances</w:t>
      </w:r>
    </w:p>
    <w:p w:rsidR="00000000" w:rsidRPr="00EE065D" w:rsidP="00EE065D">
      <w:pPr>
        <w:pStyle w:val="ListBullet2"/>
      </w:pPr>
      <w:r w:rsidRPr="00EE065D">
        <w:t>negative impact on existing health conditions</w:t>
      </w:r>
    </w:p>
    <w:p w:rsidR="00000000" w:rsidRPr="00EE065D" w:rsidP="00EE065D">
      <w:pPr>
        <w:pStyle w:val="ListBullet2"/>
      </w:pPr>
      <w:r w:rsidRPr="00EE065D">
        <w:t>food intolerance and allergy adverse reactions</w:t>
      </w:r>
    </w:p>
    <w:p w:rsidR="00000000" w:rsidRPr="00EE065D" w:rsidP="00EE065D">
      <w:pPr>
        <w:pStyle w:val="ListBullet2"/>
      </w:pPr>
      <w:r w:rsidRPr="00EE065D">
        <w:t>negative food-drug interactions</w:t>
      </w:r>
    </w:p>
    <w:p w:rsidR="00000000" w:rsidRPr="00EE065D" w:rsidP="00EE065D">
      <w:pPr>
        <w:pStyle w:val="ListBullet2"/>
      </w:pPr>
      <w:r w:rsidRPr="00EE065D">
        <w:t>nutrition confusion</w:t>
      </w:r>
    </w:p>
    <w:p w:rsidR="00000000" w:rsidRPr="00EE065D" w:rsidP="00EE065D">
      <w:pPr>
        <w:pStyle w:val="ListBullet"/>
      </w:pPr>
      <w:r w:rsidRPr="00EE065D">
        <w:t>key contents of current Australian national dietary guidelines and associated resources:</w:t>
      </w:r>
    </w:p>
    <w:p w:rsidR="00000000" w:rsidRPr="00EE065D" w:rsidP="00EE065D">
      <w:pPr>
        <w:pStyle w:val="ListBullet2"/>
      </w:pPr>
      <w:r w:rsidRPr="00EE065D">
        <w:t>the principal recommendations and guidelines</w:t>
      </w:r>
    </w:p>
    <w:p w:rsidR="00000000" w:rsidRPr="00EE065D" w:rsidP="00EE065D">
      <w:pPr>
        <w:pStyle w:val="ListBullet2"/>
      </w:pPr>
      <w:r w:rsidRPr="00EE065D">
        <w:t>characteristics and examples of types of food in the five groups</w:t>
      </w:r>
    </w:p>
    <w:p w:rsidR="00000000" w:rsidRPr="00EE065D" w:rsidP="00EE065D">
      <w:pPr>
        <w:pStyle w:val="ListBullet2"/>
      </w:pPr>
      <w:r w:rsidRPr="00EE065D">
        <w:t>proportions of the five food groups recommended for cons</w:t>
      </w:r>
      <w:r w:rsidRPr="00EE065D">
        <w:t>umption each day</w:t>
      </w:r>
    </w:p>
    <w:p w:rsidR="00000000" w:rsidRPr="00EE065D" w:rsidP="00EE065D">
      <w:pPr>
        <w:pStyle w:val="ListBullet2"/>
      </w:pPr>
      <w:r w:rsidRPr="00EE065D">
        <w:t>characteristics and examples of discretionary foods to be avoided</w:t>
      </w:r>
    </w:p>
    <w:p w:rsidR="00000000" w:rsidRPr="00EE065D" w:rsidP="00EE065D">
      <w:pPr>
        <w:pStyle w:val="ListBullet"/>
      </w:pPr>
      <w:r w:rsidRPr="00EE065D">
        <w:t>food that is specific to Aboriginal and/or Torres Strait Islander people:</w:t>
      </w:r>
    </w:p>
    <w:p w:rsidR="00000000" w:rsidRPr="00EE065D" w:rsidP="00EE065D">
      <w:pPr>
        <w:pStyle w:val="ListBullet2"/>
      </w:pPr>
      <w:r w:rsidRPr="00EE065D">
        <w:t>food values in traditional Aboriginal and/or Torres Strait Islander food</w:t>
      </w:r>
    </w:p>
    <w:p w:rsidR="00000000" w:rsidRPr="00EE065D" w:rsidP="00EE065D">
      <w:pPr>
        <w:pStyle w:val="ListBullet2"/>
      </w:pPr>
      <w:r w:rsidRPr="00EE065D">
        <w:t>cultural values and beli</w:t>
      </w:r>
      <w:r w:rsidRPr="00EE065D">
        <w:t>efs about food</w:t>
      </w:r>
    </w:p>
    <w:p w:rsidR="00000000" w:rsidRPr="00EE065D" w:rsidP="00EE065D">
      <w:pPr>
        <w:pStyle w:val="ListBullet"/>
      </w:pPr>
      <w:r w:rsidRPr="00EE065D">
        <w:t>benefits of healthy eating and of physical activity, and relationship to physical and emotional wellbeing</w:t>
      </w:r>
    </w:p>
    <w:p w:rsidR="00000000" w:rsidRPr="00EE065D" w:rsidP="00EE065D">
      <w:pPr>
        <w:pStyle w:val="ListBullet"/>
      </w:pPr>
      <w:r w:rsidRPr="00EE065D">
        <w:t>potential impacts of unhealthy food choices and eating patterns on general health and wellbeing and:</w:t>
      </w:r>
    </w:p>
    <w:p w:rsidR="00000000" w:rsidRPr="00EE065D" w:rsidP="00EE065D">
      <w:pPr>
        <w:pStyle w:val="ListBullet2"/>
      </w:pPr>
      <w:r w:rsidRPr="00EE065D">
        <w:t>diet-related risk factors for chronic conditions, including high cholesterol, high blood pressure and obesity</w:t>
      </w:r>
    </w:p>
    <w:p w:rsidR="00000000" w:rsidRPr="00EE065D" w:rsidP="00EE065D">
      <w:pPr>
        <w:pStyle w:val="ListBullet2"/>
      </w:pPr>
      <w:r w:rsidRPr="00EE065D">
        <w:t>risk of chronic diseases including type 2 diabetes, cardiovascular disease and some types of cancers</w:t>
      </w:r>
    </w:p>
    <w:p w:rsidR="00000000" w:rsidRPr="00EE065D" w:rsidP="00EE065D">
      <w:pPr>
        <w:pStyle w:val="ListBullet2"/>
      </w:pPr>
      <w:r w:rsidRPr="00EE065D">
        <w:t>risk of malnutrition</w:t>
      </w:r>
    </w:p>
    <w:p w:rsidR="00000000" w:rsidRPr="00EE065D" w:rsidP="00EE065D">
      <w:pPr>
        <w:pStyle w:val="ListBullet"/>
      </w:pPr>
      <w:r w:rsidRPr="00EE065D">
        <w:t>recommendations for wee</w:t>
      </w:r>
      <w:r w:rsidRPr="00EE065D">
        <w:t>kly physical activity from the current Australian national physical activity guidelines:</w:t>
      </w:r>
    </w:p>
    <w:p w:rsidR="00000000" w:rsidRPr="00EE065D" w:rsidP="00EE065D">
      <w:pPr>
        <w:pStyle w:val="ListBullet2"/>
      </w:pPr>
      <w:r w:rsidRPr="00EE065D">
        <w:t>movement guidelines for the early years, children and young people</w:t>
      </w:r>
    </w:p>
    <w:p w:rsidR="00000000" w:rsidRPr="00EE065D" w:rsidP="00EE065D">
      <w:pPr>
        <w:pStyle w:val="ListBullet2"/>
      </w:pPr>
      <w:r w:rsidRPr="00EE065D">
        <w:t>physical activity guidelines for adults</w:t>
      </w:r>
    </w:p>
    <w:p w:rsidR="00000000" w:rsidRPr="00EE065D" w:rsidP="00EE065D">
      <w:pPr>
        <w:pStyle w:val="ListBullet2"/>
      </w:pPr>
      <w:r w:rsidRPr="00EE065D">
        <w:t>physical activity guidelines for older people.</w:t>
      </w:r>
    </w:p>
    <w:p w:rsidR="00000000" w:rsidRPr="00EE065D" w:rsidP="00EE065D">
      <w:pPr>
        <w:pStyle w:val="AllowPageBreak"/>
      </w:pPr>
    </w:p>
    <w:p w:rsidR="00000000" w:rsidRPr="00EE065D" w:rsidP="00EE065D">
      <w:pPr>
        <w:pStyle w:val="Heading1"/>
      </w:pPr>
      <w:bookmarkStart w:id="4" w:name="O_1278644"/>
      <w:bookmarkEnd w:id="4"/>
      <w:r w:rsidRPr="00EE065D">
        <w:t>Assessment Conditions</w:t>
      </w:r>
    </w:p>
    <w:p w:rsidR="00000000" w:rsidRPr="00EE065D" w:rsidP="00F07A04">
      <w:pPr>
        <w:pStyle w:val="BodyText"/>
      </w:pPr>
      <w:r w:rsidRPr="00EE065D">
        <w:t>Skills can be demonstrated through:</w:t>
      </w:r>
    </w:p>
    <w:p w:rsidR="00000000" w:rsidRPr="00EE065D" w:rsidP="00EE065D">
      <w:pPr>
        <w:pStyle w:val="ListBullet"/>
      </w:pPr>
      <w:r w:rsidRPr="00EE065D">
        <w:t>work activities completed within an Aboriginal and/or Torres Strait Islander health service, or</w:t>
      </w:r>
    </w:p>
    <w:p w:rsidR="00000000" w:rsidRPr="00EE065D" w:rsidP="00EE065D">
      <w:pPr>
        <w:pStyle w:val="ListBullet"/>
      </w:pPr>
      <w:r w:rsidRPr="00EE065D">
        <w:t xml:space="preserve">simulations and case studies completed within a training organisation, based on comprehensive </w:t>
      </w:r>
      <w:r w:rsidRPr="00EE065D">
        <w:t>information about client needs.</w:t>
      </w:r>
    </w:p>
    <w:p w:rsidR="00000000" w:rsidRPr="00EE065D" w:rsidP="00F07A04">
      <w:pPr>
        <w:pStyle w:val="BodyText"/>
      </w:pPr>
      <w:r w:rsidRPr="00EE065D">
        <w:t>Assessment must ensure the use of:</w:t>
      </w:r>
    </w:p>
    <w:p w:rsidR="00000000" w:rsidRPr="00EE065D" w:rsidP="00EE065D">
      <w:pPr>
        <w:pStyle w:val="ListBullet"/>
      </w:pPr>
      <w:r w:rsidRPr="00EE065D">
        <w:t>interaction with Aboriginal and/or Torres Strait Islander clients either through actual work activities or simulations</w:t>
      </w:r>
    </w:p>
    <w:p w:rsidR="00000000" w:rsidRPr="00EE065D" w:rsidP="00EE065D">
      <w:pPr>
        <w:pStyle w:val="ListBullet"/>
      </w:pPr>
      <w:r w:rsidRPr="00EE065D">
        <w:t>current Australian national dietary guidelines and associated resources:</w:t>
      </w:r>
    </w:p>
    <w:p w:rsidR="00000000" w:rsidRPr="00EE065D" w:rsidP="00EE065D">
      <w:pPr>
        <w:pStyle w:val="ListBullet2"/>
      </w:pPr>
      <w:r w:rsidRPr="00EE065D">
        <w:t>the principal recommendations and guidelines</w:t>
      </w:r>
    </w:p>
    <w:p w:rsidR="00000000" w:rsidRPr="00EE065D" w:rsidP="00EE065D">
      <w:pPr>
        <w:pStyle w:val="ListBullet2"/>
      </w:pPr>
      <w:r w:rsidRPr="00EE065D">
        <w:t>guides to healthy eating</w:t>
      </w:r>
    </w:p>
    <w:p w:rsidR="00000000" w:rsidRPr="00EE065D" w:rsidP="00EE065D">
      <w:pPr>
        <w:pStyle w:val="ListBullet2"/>
      </w:pPr>
      <w:r w:rsidRPr="00EE065D">
        <w:t>consumer brochures</w:t>
      </w:r>
    </w:p>
    <w:p w:rsidR="00000000" w:rsidRPr="00EE065D" w:rsidP="00EE065D">
      <w:pPr>
        <w:pStyle w:val="ListBullet"/>
      </w:pPr>
      <w:r w:rsidRPr="00EE065D">
        <w:t>current Australian national physical activity guidelines:</w:t>
      </w:r>
    </w:p>
    <w:p w:rsidR="00000000" w:rsidRPr="00EE065D" w:rsidP="00EE065D">
      <w:pPr>
        <w:pStyle w:val="ListBullet2"/>
      </w:pPr>
      <w:r w:rsidRPr="00EE065D">
        <w:t>movement guidelines for the early</w:t>
      </w:r>
      <w:r w:rsidRPr="00EE065D">
        <w:t xml:space="preserve"> years, children and young people</w:t>
      </w:r>
    </w:p>
    <w:p w:rsidR="00000000" w:rsidRPr="00EE065D" w:rsidP="00EE065D">
      <w:pPr>
        <w:pStyle w:val="ListBullet2"/>
      </w:pPr>
      <w:r w:rsidRPr="00EE065D">
        <w:t>physical activity guidelines for adults</w:t>
      </w:r>
    </w:p>
    <w:p w:rsidR="00000000" w:rsidRPr="00EE065D" w:rsidP="00EE065D">
      <w:pPr>
        <w:pStyle w:val="ListBullet2"/>
      </w:pPr>
      <w:r w:rsidRPr="00EE065D">
        <w:t>physical activity guidelines for older people</w:t>
      </w:r>
    </w:p>
    <w:p w:rsidR="00000000" w:rsidRPr="00EE065D" w:rsidP="00EE065D">
      <w:pPr>
        <w:pStyle w:val="ListBullet"/>
      </w:pPr>
      <w:r w:rsidRPr="00EE065D">
        <w:t>organisational procedures for referral.</w:t>
      </w:r>
    </w:p>
    <w:p w:rsidR="00000000" w:rsidRPr="00EE065D" w:rsidP="00F07A04">
      <w:pPr>
        <w:pStyle w:val="BodyText"/>
      </w:pPr>
      <w:r w:rsidRPr="00EE065D">
        <w:t>Assessors must satisfy the Standards for Registered Training Organisations requirements for ass</w:t>
      </w:r>
      <w:r w:rsidRPr="00EE065D">
        <w:t>essors, and:</w:t>
      </w:r>
    </w:p>
    <w:p w:rsidR="00000000" w:rsidRPr="00EE065D" w:rsidP="00EE065D">
      <w:pPr>
        <w:pStyle w:val="ListBullet"/>
      </w:pPr>
      <w:r w:rsidRPr="00EE065D">
        <w:t>be an Aboriginal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EE065D" w:rsidP="00EE065D">
      <w:pPr>
        <w:pStyle w:val="ListBullet"/>
      </w:pPr>
      <w:r w:rsidRPr="00EE065D">
        <w:t>be a</w:t>
      </w:r>
      <w:r w:rsidRPr="00EE065D">
        <w:t xml:space="preserve"> registered health practitioner or a health educator with experience relevant to this unit of competency and be accompanied by, or have assessments validated by, an Aboriginal and/or Torres Strait Islander person.</w:t>
      </w:r>
    </w:p>
    <w:p w:rsidR="00000000" w:rsidRPr="00EE065D" w:rsidP="00EE065D">
      <w:pPr>
        <w:pStyle w:val="AllowPageBreak"/>
      </w:pPr>
    </w:p>
    <w:p w:rsidR="00000000" w:rsidRPr="00EE065D" w:rsidP="00EE065D">
      <w:pPr>
        <w:pStyle w:val="Heading1"/>
      </w:pPr>
      <w:bookmarkStart w:id="5" w:name="O_1278647"/>
      <w:bookmarkEnd w:id="5"/>
      <w:r w:rsidRPr="00EE065D">
        <w:t>Links</w:t>
      </w:r>
    </w:p>
    <w:p w:rsidR="00000000" w:rsidRPr="00EE065D" w:rsidP="00F07A04">
      <w:pPr>
        <w:pStyle w:val="BodyText"/>
      </w:pPr>
      <w:r w:rsidRPr="00EE0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46FA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E065D" w:rsidP="00EE065D"/>
    <w:sectPr w:rsidSect="00EE0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5D" w:rsidRPr="00F07A04" w:rsidP="00F07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04" w:rsidP="00EE0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A04" w:rsidP="00EE0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7A04" w:rsidP="00EE0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65D" w:rsidRPr="00F07A04" w:rsidP="00F07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04" w:rsidRPr="002D2AF8" w:rsidP="00EE0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HLTAHPR006 Provide healthy lifestyle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07A04" w:rsidP="00EE0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F61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07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5CB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65D"/>
  </w:style>
  <w:style w:type="character" w:customStyle="1" w:styleId="Heading1Char">
    <w:name w:val="Heading 1 Char"/>
    <w:basedOn w:val="DefaultParagraphFont"/>
    <w:link w:val="Heading1"/>
    <w:rsid w:val="00EE0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6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6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06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0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65D"/>
    <w:rPr>
      <w:b/>
      <w:spacing w:val="0"/>
    </w:rPr>
  </w:style>
  <w:style w:type="paragraph" w:customStyle="1" w:styleId="SuperTitle">
    <w:name w:val="SuperTitle"/>
    <w:basedOn w:val="Title"/>
    <w:rsid w:val="00EE0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65D"/>
    <w:rPr>
      <w:i/>
    </w:rPr>
  </w:style>
  <w:style w:type="paragraph" w:styleId="Caption">
    <w:name w:val="caption"/>
    <w:basedOn w:val="BodyText"/>
    <w:next w:val="Normal"/>
    <w:qFormat/>
    <w:rsid w:val="00EE0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65D"/>
  </w:style>
  <w:style w:type="paragraph" w:styleId="TableofFigures">
    <w:name w:val="table of figures"/>
    <w:basedOn w:val="Normal"/>
    <w:next w:val="Normal"/>
    <w:semiHidden/>
    <w:rsid w:val="00EE0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6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065D"/>
    <w:rPr>
      <w:rFonts w:ascii="Wingdings" w:hAnsi="Wingdings"/>
    </w:rPr>
  </w:style>
  <w:style w:type="paragraph" w:customStyle="1" w:styleId="TableHeading">
    <w:name w:val="Table Heading"/>
    <w:basedOn w:val="HeadingBase"/>
    <w:rsid w:val="00EE0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65D"/>
    <w:rPr>
      <w:color w:val="0033CC"/>
      <w:u w:val="none"/>
    </w:rPr>
  </w:style>
  <w:style w:type="paragraph" w:customStyle="1" w:styleId="BodyTextRight">
    <w:name w:val="Body Text Right"/>
    <w:basedOn w:val="BodyText"/>
    <w:rsid w:val="00EE0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6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65D"/>
    <w:rPr>
      <w:sz w:val="32"/>
    </w:rPr>
  </w:style>
  <w:style w:type="paragraph" w:customStyle="1" w:styleId="HeadingProcedure">
    <w:name w:val="Heading Procedure"/>
    <w:basedOn w:val="HeadingBase"/>
    <w:next w:val="Normal"/>
    <w:rsid w:val="00EE0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65D"/>
    <w:pPr>
      <w:spacing w:before="60" w:after="60"/>
    </w:pPr>
  </w:style>
  <w:style w:type="paragraph" w:styleId="ListContinue">
    <w:name w:val="List Continue"/>
    <w:basedOn w:val="List"/>
    <w:rsid w:val="00EE065D"/>
    <w:pPr>
      <w:ind w:firstLine="0"/>
    </w:pPr>
  </w:style>
  <w:style w:type="paragraph" w:customStyle="1" w:styleId="ListNote">
    <w:name w:val="List Note"/>
    <w:basedOn w:val="List"/>
    <w:rsid w:val="00EE0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65D"/>
    <w:rPr>
      <w:rFonts w:ascii="Courier New" w:hAnsi="Courier New"/>
    </w:rPr>
  </w:style>
  <w:style w:type="paragraph" w:customStyle="1" w:styleId="NoteBullet">
    <w:name w:val="Note Bullet"/>
    <w:basedOn w:val="Note"/>
    <w:rsid w:val="00EE0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6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0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65D"/>
    <w:rPr>
      <w:b/>
      <w:smallCaps/>
    </w:rPr>
  </w:style>
  <w:style w:type="paragraph" w:customStyle="1" w:styleId="TableListNumber">
    <w:name w:val="Table List Number"/>
    <w:basedOn w:val="ListNumber"/>
    <w:rsid w:val="00EE0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65D"/>
    <w:pPr>
      <w:numPr>
        <w:numId w:val="10"/>
      </w:numPr>
    </w:pPr>
  </w:style>
  <w:style w:type="paragraph" w:customStyle="1" w:styleId="ListAlpha2">
    <w:name w:val="List Alpha 2"/>
    <w:basedOn w:val="List2"/>
    <w:rsid w:val="00EE065D"/>
    <w:pPr>
      <w:numPr>
        <w:numId w:val="9"/>
      </w:numPr>
    </w:pPr>
  </w:style>
  <w:style w:type="paragraph" w:styleId="List2">
    <w:name w:val="List 2"/>
    <w:basedOn w:val="BodyText"/>
    <w:rsid w:val="00EE0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6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06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065D"/>
    <w:pPr>
      <w:numPr>
        <w:numId w:val="5"/>
      </w:numPr>
    </w:pPr>
  </w:style>
  <w:style w:type="paragraph" w:styleId="ListContinue2">
    <w:name w:val="List Continue 2"/>
    <w:basedOn w:val="List2"/>
    <w:rsid w:val="00EE065D"/>
    <w:pPr>
      <w:ind w:firstLine="0"/>
    </w:pPr>
  </w:style>
  <w:style w:type="paragraph" w:styleId="ListContinue3">
    <w:name w:val="List Continue 3"/>
    <w:basedOn w:val="List3"/>
    <w:rsid w:val="00EE065D"/>
    <w:pPr>
      <w:ind w:left="1021" w:firstLine="0"/>
    </w:pPr>
  </w:style>
  <w:style w:type="paragraph" w:styleId="ListContinue4">
    <w:name w:val="List Continue 4"/>
    <w:basedOn w:val="List4"/>
    <w:rsid w:val="00EE065D"/>
    <w:pPr>
      <w:ind w:firstLine="0"/>
    </w:pPr>
  </w:style>
  <w:style w:type="paragraph" w:styleId="ListContinue5">
    <w:name w:val="List Continue 5"/>
    <w:basedOn w:val="List5"/>
    <w:rsid w:val="00EE065D"/>
    <w:pPr>
      <w:ind w:firstLine="0"/>
    </w:pPr>
  </w:style>
  <w:style w:type="paragraph" w:styleId="ListNumber3">
    <w:name w:val="List Number 3"/>
    <w:basedOn w:val="List3"/>
    <w:rsid w:val="00EE065D"/>
    <w:pPr>
      <w:numPr>
        <w:numId w:val="6"/>
      </w:numPr>
    </w:pPr>
  </w:style>
  <w:style w:type="paragraph" w:styleId="ListNumber4">
    <w:name w:val="List Number 4"/>
    <w:basedOn w:val="List4"/>
    <w:rsid w:val="00EE065D"/>
    <w:pPr>
      <w:numPr>
        <w:numId w:val="7"/>
      </w:numPr>
    </w:pPr>
  </w:style>
  <w:style w:type="paragraph" w:styleId="ListNumber5">
    <w:name w:val="List Number 5"/>
    <w:basedOn w:val="List5"/>
    <w:rsid w:val="00EE065D"/>
    <w:pPr>
      <w:numPr>
        <w:numId w:val="8"/>
      </w:numPr>
    </w:pPr>
  </w:style>
  <w:style w:type="paragraph" w:styleId="BlockText">
    <w:name w:val="Block Text"/>
    <w:basedOn w:val="Normal"/>
    <w:rsid w:val="00EE0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65D"/>
    <w:rPr>
      <w:sz w:val="16"/>
      <w:vertAlign w:val="superscript"/>
    </w:rPr>
  </w:style>
  <w:style w:type="character" w:customStyle="1" w:styleId="Symbols">
    <w:name w:val="Symbols"/>
    <w:basedOn w:val="DefaultParagraphFont"/>
    <w:rsid w:val="00EE065D"/>
    <w:rPr>
      <w:rFonts w:ascii="Symbol" w:hAnsi="Symbol"/>
    </w:rPr>
  </w:style>
  <w:style w:type="character" w:customStyle="1" w:styleId="MenuOptions">
    <w:name w:val="Menu Options"/>
    <w:basedOn w:val="DefaultParagraphFont"/>
    <w:rsid w:val="00EE0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65D"/>
    <w:rPr>
      <w:b/>
    </w:rPr>
  </w:style>
  <w:style w:type="character" w:customStyle="1" w:styleId="Underlined">
    <w:name w:val="Underlined"/>
    <w:basedOn w:val="DefaultParagraphFont"/>
    <w:rsid w:val="00EE065D"/>
    <w:rPr>
      <w:u w:val="single"/>
    </w:rPr>
  </w:style>
  <w:style w:type="paragraph" w:customStyle="1" w:styleId="TableBodyTextRight">
    <w:name w:val="Table Body Text Right"/>
    <w:basedOn w:val="TableBodyText"/>
    <w:rsid w:val="00EE0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65D"/>
    <w:rPr>
      <w:sz w:val="18"/>
    </w:rPr>
  </w:style>
  <w:style w:type="paragraph" w:customStyle="1" w:styleId="BodySmallRight">
    <w:name w:val="Body Small Right"/>
    <w:basedOn w:val="BodyTextRight"/>
    <w:rsid w:val="00EE065D"/>
    <w:rPr>
      <w:sz w:val="18"/>
      <w:szCs w:val="18"/>
    </w:rPr>
  </w:style>
  <w:style w:type="paragraph" w:customStyle="1" w:styleId="MarginEdition">
    <w:name w:val="Margin Edition"/>
    <w:basedOn w:val="MarginNote"/>
    <w:rsid w:val="00EE0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65D"/>
    <w:rPr>
      <w:sz w:val="2"/>
      <w:szCs w:val="2"/>
    </w:rPr>
  </w:style>
  <w:style w:type="character" w:customStyle="1" w:styleId="Small">
    <w:name w:val="Small"/>
    <w:basedOn w:val="DefaultParagraphFont"/>
    <w:rsid w:val="00EE065D"/>
    <w:rPr>
      <w:sz w:val="16"/>
    </w:rPr>
  </w:style>
  <w:style w:type="paragraph" w:customStyle="1" w:styleId="WideTable">
    <w:name w:val="Wide Table"/>
    <w:basedOn w:val="Normal"/>
    <w:rsid w:val="00EE0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65D"/>
  </w:style>
  <w:style w:type="paragraph" w:styleId="Quote">
    <w:name w:val="Quote"/>
    <w:basedOn w:val="Heading1"/>
    <w:link w:val="QuoteChar"/>
    <w:qFormat/>
    <w:rsid w:val="00EE0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65D"/>
    <w:pPr>
      <w:pageBreakBefore/>
    </w:pPr>
  </w:style>
  <w:style w:type="paragraph" w:customStyle="1" w:styleId="Border">
    <w:name w:val="Border"/>
    <w:basedOn w:val="Normal"/>
    <w:qFormat/>
    <w:rsid w:val="00EE0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65D"/>
    <w:rPr>
      <w:u w:val="single"/>
    </w:rPr>
  </w:style>
  <w:style w:type="character" w:customStyle="1" w:styleId="BoldandItalics">
    <w:name w:val="Bold and Italics"/>
    <w:qFormat/>
    <w:rsid w:val="00EE065D"/>
    <w:rPr>
      <w:b/>
      <w:i/>
      <w:u w:val="none"/>
    </w:rPr>
  </w:style>
  <w:style w:type="paragraph" w:styleId="BalloonText">
    <w:name w:val="Balloon Text"/>
    <w:basedOn w:val="Normal"/>
    <w:link w:val="BalloonTextChar"/>
    <w:rsid w:val="00EE0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65D"/>
    <w:pPr>
      <w:spacing w:before="0" w:after="0"/>
    </w:pPr>
  </w:style>
  <w:style w:type="paragraph" w:customStyle="1" w:styleId="BodyTextBold">
    <w:name w:val="Body Text Bold"/>
    <w:basedOn w:val="BodyText"/>
    <w:qFormat/>
    <w:rsid w:val="00EE065D"/>
    <w:rPr>
      <w:b/>
    </w:rPr>
  </w:style>
  <w:style w:type="character" w:styleId="Hyperlink">
    <w:name w:val="Hyperlink"/>
    <w:basedOn w:val="DefaultParagraphFont"/>
    <w:uiPriority w:val="99"/>
    <w:unhideWhenUsed/>
    <w:rsid w:val="00F07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4729</Characters>
  <Application>Microsoft Office Word</Application>
  <DocSecurity>0</DocSecurity>
  <Lines>118</Lines>
  <Paragraphs>97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HLTAHPR006 Provide healthy lifestyle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2023-07-01T04:37:00Z</dcterms:created>
  <dcterms:modified xsi:type="dcterms:W3CDTF">2023-07-01T04:37:00Z</dcterms:modified>
</cp:coreProperties>
</file>