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65C" w:rsidP="0017765C">
      <w:pPr>
        <w:pStyle w:val="Title"/>
      </w:pPr>
      <w:r>
        <w:fldChar w:fldCharType="begin"/>
      </w:r>
      <w:r>
        <w:instrText xml:space="preserve"> TITLE   \* MERGEFORMAT </w:instrText>
      </w:r>
      <w:r>
        <w:fldChar w:fldCharType="separate"/>
      </w:r>
      <w:r>
        <w:t>HLTAHCS015 Facilitate access to tertiary health services</w:t>
      </w:r>
      <w:r>
        <w:fldChar w:fldCharType="end"/>
      </w:r>
    </w:p>
    <w:p w:rsidR="0017765C" w:rsidP="0017765C">
      <w:pPr>
        <w:pStyle w:val="Version"/>
        <w:sectPr w:rsidSect="00F90D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D63" w:rsidP="00F90D63">
      <w:pPr>
        <w:pStyle w:val="SuperHeading"/>
      </w:pPr>
      <w:r w:rsidRPr="00F90D63">
        <w:t>HLTAHCS015 Facilitate access to tertiary health services</w:t>
      </w:r>
    </w:p>
    <w:p w:rsidR="00000000" w:rsidRPr="00F90D63" w:rsidP="00F90D63">
      <w:pPr>
        <w:pStyle w:val="Heading1"/>
      </w:pPr>
      <w:bookmarkStart w:id="1" w:name="O_1278457"/>
      <w:bookmarkEnd w:id="1"/>
      <w:r w:rsidRPr="00F90D63">
        <w:t>Modification History</w:t>
      </w:r>
    </w:p>
    <w:p w:rsidR="00000000" w:rsidRPr="00F90D63" w:rsidP="0017765C">
      <w:pPr>
        <w:pStyle w:val="BodyText"/>
      </w:pPr>
      <w:r w:rsidRPr="00F90D63">
        <w:t>Not applicable.</w:t>
      </w:r>
    </w:p>
    <w:p w:rsidR="00000000" w:rsidRPr="00F90D63" w:rsidP="00F90D63">
      <w:pPr>
        <w:pStyle w:val="Heading1"/>
      </w:pPr>
      <w:bookmarkStart w:id="2" w:name="O_1278458"/>
      <w:bookmarkEnd w:id="2"/>
      <w:r w:rsidRPr="00F90D63">
        <w:t>Application</w:t>
      </w:r>
    </w:p>
    <w:p w:rsidR="00000000" w:rsidRPr="00F90D63" w:rsidP="0017765C">
      <w:pPr>
        <w:pStyle w:val="BodyText"/>
      </w:pPr>
      <w:r w:rsidRPr="00F90D63">
        <w:t>This unit describes the performance outcomes, skills and knowledge required to develop and maintain links with tertiary health services and to support Aboriginal and/or T</w:t>
      </w:r>
      <w:r w:rsidRPr="00F90D63">
        <w:t>orres Strait Islander people to access those services. It requires the ability to interpret service information, provide information to clients and assist with practical arrangements such as transport, accommodation, admission and discharge.</w:t>
      </w:r>
    </w:p>
    <w:p w:rsidR="00000000" w:rsidRPr="00F90D63" w:rsidP="0017765C">
      <w:pPr>
        <w:pStyle w:val="BodyText"/>
      </w:pPr>
      <w:r w:rsidRPr="00F90D63">
        <w:t>This unit is s</w:t>
      </w:r>
      <w:r w:rsidRPr="00F90D63">
        <w:t>pecific to Aboriginal and/or Torres Strait Islander people working as health workers or health practitioners. They work as part of a multidisciplinary primary health care team to provide primary health care and other support services to Aboriginal and/or T</w:t>
      </w:r>
      <w:r w:rsidRPr="00F90D63">
        <w:t>orres Strait Islander clients.</w:t>
      </w:r>
    </w:p>
    <w:p w:rsidR="00000000" w:rsidRPr="00F90D63" w:rsidP="0017765C">
      <w:pPr>
        <w:pStyle w:val="BodyText"/>
      </w:pPr>
      <w:r w:rsidRPr="00F90D63">
        <w:t>The skills in this unit must be applied in accordance with Commonwealth and State or Territory legislation, Australian standards and industry codes of practice.</w:t>
      </w:r>
    </w:p>
    <w:p w:rsidR="00000000" w:rsidRPr="00F90D63" w:rsidP="0017765C">
      <w:pPr>
        <w:pStyle w:val="BodyText"/>
      </w:pPr>
      <w:r w:rsidRPr="00F90D63">
        <w:t>No regulatory requirement for certification, occupational or bus</w:t>
      </w:r>
      <w:r w:rsidRPr="00F90D63">
        <w:t>iness licensing is linked to this unit at the time of publication. For information about practitioner registration and accredited courses of study, contact the Aboriginal and Torres Strait Islander Health Practice Board of Australia (ATSIHPBA).</w:t>
      </w:r>
    </w:p>
    <w:p w:rsidR="00000000" w:rsidRPr="00F90D63" w:rsidP="00F90D63">
      <w:pPr>
        <w:pStyle w:val="Heading1"/>
      </w:pPr>
      <w:bookmarkStart w:id="3" w:name="O_1278459"/>
      <w:bookmarkEnd w:id="3"/>
      <w:r w:rsidRPr="00F90D63">
        <w:t>Pre-requisite Unit</w:t>
      </w:r>
    </w:p>
    <w:p w:rsidR="00000000" w:rsidRPr="00F90D63" w:rsidP="0017765C">
      <w:pPr>
        <w:pStyle w:val="BodyText"/>
      </w:pPr>
      <w:r w:rsidRPr="00F90D63">
        <w:t>Nil</w:t>
      </w:r>
    </w:p>
    <w:p w:rsidR="00000000" w:rsidRPr="00F90D63" w:rsidP="00F90D63">
      <w:pPr>
        <w:pStyle w:val="Heading1"/>
      </w:pPr>
      <w:bookmarkStart w:id="4" w:name="O_1278460"/>
      <w:bookmarkEnd w:id="4"/>
      <w:r w:rsidRPr="00F90D63">
        <w:t>Competency Field</w:t>
      </w:r>
    </w:p>
    <w:p w:rsidR="00000000" w:rsidRPr="00F90D63" w:rsidP="0017765C">
      <w:pPr>
        <w:pStyle w:val="BodyText"/>
      </w:pPr>
      <w:r w:rsidRPr="00F90D63">
        <w:t>Health Care and Support</w:t>
      </w:r>
    </w:p>
    <w:p w:rsidR="00000000" w:rsidRPr="00F90D63" w:rsidP="00F90D63">
      <w:pPr>
        <w:pStyle w:val="Heading1"/>
      </w:pPr>
      <w:bookmarkStart w:id="5" w:name="O_1278461"/>
      <w:bookmarkEnd w:id="5"/>
      <w:r w:rsidRPr="00F90D63">
        <w:t>Unit Sector</w:t>
      </w:r>
    </w:p>
    <w:p w:rsidR="00000000" w:rsidRPr="00F90D63" w:rsidP="0017765C">
      <w:pPr>
        <w:pStyle w:val="BodyText"/>
      </w:pPr>
      <w:r w:rsidRPr="00F90D63">
        <w:t>Aboriginal and/or Torres Strait Islander Health</w:t>
      </w:r>
    </w:p>
    <w:p w:rsidR="00000000" w:rsidRPr="00F90D63" w:rsidP="00F90D63">
      <w:pPr>
        <w:pStyle w:val="Heading1"/>
      </w:pPr>
      <w:bookmarkStart w:id="6" w:name="O_1278462"/>
      <w:bookmarkEnd w:id="6"/>
      <w:r w:rsidRPr="00F90D63">
        <w:t>Elements and Performance Criteria</w:t>
      </w:r>
    </w:p>
    <w:tbl>
      <w:tblPr>
        <w:tblW w:w="0" w:type="auto"/>
        <w:tblLayout w:type="fixed"/>
        <w:tblCellMar>
          <w:left w:w="62" w:type="dxa"/>
          <w:right w:w="62" w:type="dxa"/>
        </w:tblCellMar>
        <w:tblLook w:val="0000"/>
      </w:tblPr>
      <w:tblGrid>
        <w:gridCol w:w="2694"/>
        <w:gridCol w:w="6350"/>
      </w:tblGrid>
      <w:tr w:rsidTr="00F90D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90D63" w:rsidP="00F90D63">
            <w:pPr>
              <w:pStyle w:val="BodyText"/>
            </w:pPr>
            <w:r w:rsidRPr="00F90D6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90D63">
            <w:pPr>
              <w:pStyle w:val="BodyText"/>
              <w:rPr>
                <w:lang w:val="en-NZ"/>
              </w:rPr>
            </w:pPr>
            <w:r w:rsidRPr="00F90D63">
              <w:rPr>
                <w:rStyle w:val="SpecialBold"/>
              </w:rPr>
              <w:t>PERFORMANCE</w:t>
            </w:r>
            <w:r w:rsidRPr="00F90D63">
              <w:t xml:space="preserve"> </w:t>
            </w:r>
            <w:r w:rsidRPr="00F90D63">
              <w:rPr>
                <w:rStyle w:val="SpecialBold"/>
              </w:rPr>
              <w:t>CRITERIA</w:t>
            </w:r>
          </w:p>
        </w:tc>
      </w:tr>
      <w:tr w:rsidTr="00F90D6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90D63" w:rsidP="00F90D63">
            <w:pPr>
              <w:pStyle w:val="BodyText"/>
            </w:pPr>
            <w:r w:rsidRPr="00F90D6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90D63">
            <w:pPr>
              <w:pStyle w:val="BodyText"/>
              <w:rPr>
                <w:lang w:val="en-NZ"/>
              </w:rPr>
            </w:pPr>
            <w:r w:rsidRPr="00F90D63">
              <w:rPr>
                <w:rStyle w:val="Emphasis"/>
              </w:rPr>
              <w:t>Performance criteria describe the performance needed to demonstrate achievement of the element.</w:t>
            </w:r>
          </w:p>
        </w:tc>
      </w:tr>
      <w:tr w:rsidTr="00F90D6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90D63">
            <w:pPr>
              <w:pStyle w:val="List"/>
              <w:rPr>
                <w:lang w:val="en-NZ"/>
              </w:rPr>
            </w:pPr>
            <w:r w:rsidRPr="00F90D63">
              <w:t>1.  Develop and maintain links with tertiary health services.</w:t>
            </w:r>
          </w:p>
        </w:tc>
        <w:tc>
          <w:tcPr>
            <w:tcW w:w="6350" w:type="dxa"/>
            <w:tcBorders>
              <w:top w:val="nil"/>
              <w:left w:val="nil"/>
              <w:bottom w:val="nil"/>
              <w:right w:val="nil"/>
            </w:tcBorders>
            <w:tcMar>
              <w:top w:w="0" w:type="dxa"/>
              <w:left w:w="62" w:type="dxa"/>
              <w:bottom w:w="0" w:type="dxa"/>
              <w:right w:w="62" w:type="dxa"/>
            </w:tcMar>
          </w:tcPr>
          <w:p w:rsidR="00000000" w:rsidRPr="00F90D63" w:rsidP="00F90D63">
            <w:pPr>
              <w:pStyle w:val="List"/>
            </w:pPr>
            <w:r w:rsidRPr="00F90D63">
              <w:t>1.1. Source information about relevant tertiary health s</w:t>
            </w:r>
            <w:r w:rsidRPr="00F90D63">
              <w:t>ervices, individual organisations and key contacts based on client needs.</w:t>
            </w:r>
          </w:p>
          <w:p w:rsidR="00000000" w:rsidRPr="00F90D63" w:rsidP="00F90D63">
            <w:pPr>
              <w:pStyle w:val="List"/>
            </w:pPr>
            <w:r w:rsidRPr="00F90D63">
              <w:t>1.2. Interpret tertiary service information and extract key points needed to support clients.</w:t>
            </w:r>
          </w:p>
          <w:p w:rsidR="00000000" w:rsidRPr="00F90D63" w:rsidP="00F90D63">
            <w:pPr>
              <w:pStyle w:val="List"/>
            </w:pPr>
            <w:r w:rsidRPr="00F90D63">
              <w:t>1.3. Identify communication lines and protocols for tertiary services departments and in</w:t>
            </w:r>
            <w:r w:rsidRPr="00F90D63">
              <w:t>dividuals.</w:t>
            </w:r>
          </w:p>
          <w:p w:rsidR="00000000" w:rsidRPr="00F90D63" w:rsidP="00F90D63">
            <w:pPr>
              <w:pStyle w:val="List"/>
            </w:pPr>
            <w:r w:rsidRPr="00F90D63">
              <w:t>1.4. Use industry terminology appropriately in communications with the tertiary service.</w:t>
            </w:r>
          </w:p>
          <w:p w:rsidR="00000000" w:rsidRPr="00F90D63" w:rsidP="00F90D63">
            <w:pPr>
              <w:pStyle w:val="List"/>
            </w:pPr>
            <w:r w:rsidRPr="00F90D63">
              <w:t>1.5. Use communication and collaboration skills to establish relationships between and within organisations.</w:t>
            </w:r>
          </w:p>
          <w:p w:rsidR="00000000" w:rsidP="00F90D63">
            <w:pPr>
              <w:pStyle w:val="List"/>
              <w:rPr>
                <w:lang w:val="en-NZ"/>
              </w:rPr>
            </w:pPr>
            <w:r w:rsidRPr="00F90D63">
              <w:t>1.6. Provide and share information about own an</w:t>
            </w:r>
            <w:r w:rsidRPr="00F90D63">
              <w:t>d other organisations to support optimum client outcomes.</w:t>
            </w:r>
          </w:p>
        </w:tc>
      </w:tr>
      <w:tr w:rsidTr="00F90D6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90D63">
            <w:pPr>
              <w:pStyle w:val="List"/>
              <w:rPr>
                <w:lang w:val="en-NZ"/>
              </w:rPr>
            </w:pPr>
            <w:r w:rsidRPr="00F90D63">
              <w:t>2.  Support clients to access tertiary health services.</w:t>
            </w:r>
          </w:p>
        </w:tc>
        <w:tc>
          <w:tcPr>
            <w:tcW w:w="6350" w:type="dxa"/>
            <w:tcBorders>
              <w:top w:val="nil"/>
              <w:left w:val="nil"/>
              <w:bottom w:val="nil"/>
              <w:right w:val="nil"/>
            </w:tcBorders>
            <w:tcMar>
              <w:top w:w="0" w:type="dxa"/>
              <w:left w:w="62" w:type="dxa"/>
              <w:bottom w:w="0" w:type="dxa"/>
              <w:right w:w="62" w:type="dxa"/>
            </w:tcMar>
          </w:tcPr>
          <w:p w:rsidR="00000000" w:rsidRPr="00F90D63" w:rsidP="00F90D63">
            <w:pPr>
              <w:pStyle w:val="List"/>
            </w:pPr>
            <w:r w:rsidRPr="00F90D63">
              <w:t>2.1. Provide clients with current, accurate and relevant information about available tertiary health services and support.</w:t>
            </w:r>
          </w:p>
          <w:p w:rsidR="00000000" w:rsidRPr="00F90D63" w:rsidP="00F90D63">
            <w:pPr>
              <w:pStyle w:val="List"/>
            </w:pPr>
            <w:r w:rsidRPr="00F90D63">
              <w:t>2.2. Identify client needs for assistance with practical arrangements based on their individual situation.</w:t>
            </w:r>
          </w:p>
          <w:p w:rsidR="00000000" w:rsidRPr="00F90D63" w:rsidP="00F90D63">
            <w:pPr>
              <w:pStyle w:val="List"/>
            </w:pPr>
            <w:r w:rsidRPr="00F90D63">
              <w:t>2.3. Organise and make required practical arrangements in a timely way to support client needs.</w:t>
            </w:r>
          </w:p>
          <w:p w:rsidR="00000000" w:rsidRPr="00F90D63" w:rsidP="00F90D63">
            <w:pPr>
              <w:pStyle w:val="List"/>
            </w:pPr>
            <w:r w:rsidRPr="00F90D63">
              <w:t xml:space="preserve">2.4. Assist clients with completion of documentation </w:t>
            </w:r>
            <w:r w:rsidRPr="00F90D63">
              <w:t>based on individual needs and tertiary service requirements.</w:t>
            </w:r>
          </w:p>
          <w:p w:rsidR="00000000" w:rsidRPr="00F90D63" w:rsidP="00F90D63">
            <w:pPr>
              <w:pStyle w:val="List"/>
            </w:pPr>
            <w:r w:rsidRPr="00F90D63">
              <w:t>2.5. Identify and liaise with individuals, departments and organisations involved in client care.</w:t>
            </w:r>
          </w:p>
          <w:p w:rsidR="00000000" w:rsidP="00F90D63">
            <w:pPr>
              <w:pStyle w:val="List"/>
              <w:rPr>
                <w:lang w:val="en-NZ"/>
              </w:rPr>
            </w:pPr>
            <w:r w:rsidRPr="00F90D63">
              <w:t>2.6. Identify and share client information, perspectives and preferences with service providers.</w:t>
            </w:r>
          </w:p>
        </w:tc>
      </w:tr>
      <w:tr w:rsidTr="00F90D6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90D63">
            <w:pPr>
              <w:pStyle w:val="List"/>
              <w:rPr>
                <w:lang w:val="en-NZ"/>
              </w:rPr>
            </w:pPr>
            <w:r w:rsidRPr="00F90D63">
              <w:t>3.  Participate in discharge planning.</w:t>
            </w:r>
          </w:p>
        </w:tc>
        <w:tc>
          <w:tcPr>
            <w:tcW w:w="6350" w:type="dxa"/>
            <w:tcBorders>
              <w:top w:val="nil"/>
              <w:left w:val="nil"/>
              <w:bottom w:val="nil"/>
              <w:right w:val="nil"/>
            </w:tcBorders>
            <w:tcMar>
              <w:top w:w="0" w:type="dxa"/>
              <w:left w:w="62" w:type="dxa"/>
              <w:bottom w:w="0" w:type="dxa"/>
              <w:right w:w="62" w:type="dxa"/>
            </w:tcMar>
          </w:tcPr>
          <w:p w:rsidR="00000000" w:rsidRPr="00F90D63" w:rsidP="00F90D63">
            <w:pPr>
              <w:pStyle w:val="List"/>
            </w:pPr>
            <w:r w:rsidRPr="00F90D63">
              <w:t>3.1. Identify key individuals involved in discharge planning at the tertiary health service.</w:t>
            </w:r>
          </w:p>
          <w:p w:rsidR="00000000" w:rsidRPr="00F90D63" w:rsidP="00F90D63">
            <w:pPr>
              <w:pStyle w:val="List"/>
            </w:pPr>
            <w:r w:rsidRPr="00F90D63">
              <w:t>3.2. Identify key issues for discharge planning and discuss with client and their family to establish questions and require</w:t>
            </w:r>
            <w:r w:rsidRPr="00F90D63">
              <w:t>ments.</w:t>
            </w:r>
          </w:p>
          <w:p w:rsidR="00000000" w:rsidRPr="00F90D63" w:rsidP="00F90D63">
            <w:pPr>
              <w:pStyle w:val="List"/>
            </w:pPr>
            <w:r w:rsidRPr="00F90D63">
              <w:t>3.3. Seek information from the tertiary health service about requirements for timing, transport, medication and follow-up.</w:t>
            </w:r>
          </w:p>
          <w:p w:rsidR="00000000" w:rsidRPr="00F90D63" w:rsidP="00F90D63">
            <w:pPr>
              <w:pStyle w:val="List"/>
            </w:pPr>
            <w:r w:rsidRPr="00F90D63">
              <w:t>3.4. Provide information to client and their family and organise logistical support based on individual needs.</w:t>
            </w:r>
          </w:p>
        </w:tc>
      </w:tr>
    </w:tbl>
    <w:p w:rsidR="00000000" w:rsidRPr="00F90D63" w:rsidP="00F90D63">
      <w:pPr>
        <w:pStyle w:val="BodyText"/>
      </w:pPr>
    </w:p>
    <w:p w:rsidR="00000000" w:rsidRPr="00F90D63" w:rsidP="00F90D63">
      <w:pPr>
        <w:pStyle w:val="AllowPageBreak"/>
      </w:pPr>
    </w:p>
    <w:p w:rsidR="00000000" w:rsidRPr="00F90D63" w:rsidP="00F90D63">
      <w:pPr>
        <w:pStyle w:val="Heading1"/>
      </w:pPr>
      <w:bookmarkStart w:id="7" w:name="O_1278463"/>
      <w:bookmarkEnd w:id="7"/>
      <w:r w:rsidRPr="00F90D63">
        <w:t>Foundation Skills</w:t>
      </w:r>
    </w:p>
    <w:tbl>
      <w:tblPr>
        <w:tblW w:w="0" w:type="auto"/>
        <w:tblLayout w:type="fixed"/>
        <w:tblCellMar>
          <w:left w:w="62" w:type="dxa"/>
          <w:right w:w="62" w:type="dxa"/>
        </w:tblCellMar>
        <w:tblLook w:val="0000"/>
      </w:tblPr>
      <w:tblGrid>
        <w:gridCol w:w="2694"/>
        <w:gridCol w:w="6350"/>
      </w:tblGrid>
      <w:tr w:rsidTr="00F90D6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90D63">
            <w:pPr>
              <w:pStyle w:val="BodyText"/>
              <w:rPr>
                <w:lang w:val="en-NZ"/>
              </w:rPr>
            </w:pPr>
            <w:r w:rsidRPr="00F90D63">
              <w:rPr>
                <w:rStyle w:val="Emphasis"/>
              </w:rPr>
              <w:t>Foundation skills essential to performance in this unit, but not explicit in the performance criteria are listed here, along with a brief context statement.</w:t>
            </w:r>
          </w:p>
        </w:tc>
      </w:tr>
      <w:tr w:rsidTr="00F90D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90D63" w:rsidP="00F90D63">
            <w:pPr>
              <w:pStyle w:val="BodyText"/>
            </w:pPr>
            <w:r w:rsidRPr="00F90D6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90D63">
            <w:pPr>
              <w:pStyle w:val="BodyText"/>
              <w:rPr>
                <w:lang w:val="en-NZ"/>
              </w:rPr>
            </w:pPr>
            <w:r w:rsidRPr="00F90D63">
              <w:rPr>
                <w:rStyle w:val="SpecialBold"/>
              </w:rPr>
              <w:t>DESCRIPTION</w:t>
            </w:r>
          </w:p>
        </w:tc>
      </w:tr>
      <w:tr w:rsidTr="00F90D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0D63">
            <w:pPr>
              <w:pStyle w:val="BodyText"/>
              <w:rPr>
                <w:lang w:val="en-NZ"/>
              </w:rPr>
            </w:pPr>
            <w:r w:rsidRPr="00F90D63">
              <w:t>Reading skills to:</w:t>
            </w:r>
          </w:p>
        </w:tc>
        <w:tc>
          <w:tcPr>
            <w:tcW w:w="6350" w:type="dxa"/>
            <w:tcBorders>
              <w:top w:val="nil"/>
              <w:left w:val="nil"/>
              <w:bottom w:val="nil"/>
              <w:right w:val="nil"/>
            </w:tcBorders>
            <w:tcMar>
              <w:top w:w="0" w:type="dxa"/>
              <w:left w:w="62" w:type="dxa"/>
              <w:bottom w:w="0" w:type="dxa"/>
              <w:right w:w="62" w:type="dxa"/>
            </w:tcMar>
          </w:tcPr>
          <w:p w:rsidR="00000000" w:rsidRPr="00F90D63" w:rsidP="00F90D63">
            <w:pPr>
              <w:pStyle w:val="ListBullet"/>
            </w:pPr>
            <w:r w:rsidRPr="00F90D63">
              <w:t>interpret familiar detailed or</w:t>
            </w:r>
            <w:r w:rsidRPr="00F90D63">
              <w:t>ganisational policies and procedures</w:t>
            </w:r>
          </w:p>
          <w:p w:rsidR="00000000" w:rsidP="00F90D63">
            <w:pPr>
              <w:pStyle w:val="ListBullet"/>
              <w:rPr>
                <w:lang w:val="en-NZ"/>
              </w:rPr>
            </w:pPr>
            <w:r w:rsidRPr="00F90D63">
              <w:t>interpret potentially complex unfamiliar information that may include health services terminology.</w:t>
            </w:r>
          </w:p>
        </w:tc>
      </w:tr>
      <w:tr w:rsidTr="00F90D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0D63">
            <w:pPr>
              <w:pStyle w:val="BodyText"/>
              <w:rPr>
                <w:lang w:val="en-NZ"/>
              </w:rPr>
            </w:pPr>
            <w:r w:rsidRPr="00F90D63">
              <w:t>Writing skills to:</w:t>
            </w:r>
          </w:p>
        </w:tc>
        <w:tc>
          <w:tcPr>
            <w:tcW w:w="6350" w:type="dxa"/>
            <w:tcBorders>
              <w:top w:val="nil"/>
              <w:left w:val="nil"/>
              <w:bottom w:val="nil"/>
              <w:right w:val="nil"/>
            </w:tcBorders>
            <w:tcMar>
              <w:top w:w="0" w:type="dxa"/>
              <w:left w:w="62" w:type="dxa"/>
              <w:bottom w:w="0" w:type="dxa"/>
              <w:right w:w="62" w:type="dxa"/>
            </w:tcMar>
          </w:tcPr>
          <w:p w:rsidR="00000000" w:rsidRPr="00F90D63" w:rsidP="00F90D63">
            <w:pPr>
              <w:pStyle w:val="ListBullet"/>
            </w:pPr>
            <w:r w:rsidRPr="00F90D63">
              <w:t>draft simple information statements, letters or emails on client’s behalf</w:t>
            </w:r>
          </w:p>
          <w:p w:rsidR="00000000" w:rsidP="00F90D63">
            <w:pPr>
              <w:pStyle w:val="ListBullet"/>
              <w:rPr>
                <w:lang w:val="en-NZ"/>
              </w:rPr>
            </w:pPr>
            <w:r w:rsidRPr="00F90D63">
              <w:t>complete pre-formatted tertiary service admission and discharge documentation.</w:t>
            </w:r>
          </w:p>
        </w:tc>
      </w:tr>
      <w:tr w:rsidTr="00F90D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0D63">
            <w:pPr>
              <w:pStyle w:val="BodyText"/>
              <w:rPr>
                <w:lang w:val="en-NZ"/>
              </w:rPr>
            </w:pPr>
            <w:r w:rsidRPr="00F90D63">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F90D63" w:rsidP="00F90D63">
            <w:pPr>
              <w:pStyle w:val="ListBullet"/>
            </w:pPr>
            <w:r w:rsidRPr="00F90D63">
              <w:t>provide clear and succinct information or instructions to clients</w:t>
            </w:r>
          </w:p>
          <w:p w:rsidR="00000000" w:rsidP="00F90D63">
            <w:pPr>
              <w:pStyle w:val="ListBullet"/>
              <w:rPr>
                <w:lang w:val="en-NZ"/>
              </w:rPr>
            </w:pPr>
            <w:r w:rsidRPr="00F90D63">
              <w:t>provide clear and persuasive information about client needs to other individual</w:t>
            </w:r>
            <w:r w:rsidRPr="00F90D63">
              <w:t>s or agencies.</w:t>
            </w:r>
          </w:p>
        </w:tc>
      </w:tr>
      <w:tr w:rsidTr="00F90D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0D63">
            <w:pPr>
              <w:pStyle w:val="BodyText"/>
              <w:rPr>
                <w:lang w:val="en-NZ"/>
              </w:rPr>
            </w:pPr>
            <w:r w:rsidRPr="00F90D63">
              <w:t>Numeracy skills to:</w:t>
            </w:r>
          </w:p>
        </w:tc>
        <w:tc>
          <w:tcPr>
            <w:tcW w:w="6350" w:type="dxa"/>
            <w:tcBorders>
              <w:top w:val="nil"/>
              <w:left w:val="nil"/>
              <w:bottom w:val="nil"/>
              <w:right w:val="nil"/>
            </w:tcBorders>
            <w:tcMar>
              <w:top w:w="0" w:type="dxa"/>
              <w:left w:w="62" w:type="dxa"/>
              <w:bottom w:w="0" w:type="dxa"/>
              <w:right w:w="62" w:type="dxa"/>
            </w:tcMar>
          </w:tcPr>
          <w:p w:rsidR="00000000" w:rsidRPr="00F90D63" w:rsidP="00F90D63">
            <w:pPr>
              <w:pStyle w:val="ListBullet"/>
            </w:pPr>
            <w:r w:rsidRPr="00F90D63">
              <w:t>interpret numerical information, including health, accommodation and transport costs, timetables and schedules</w:t>
            </w:r>
          </w:p>
          <w:p w:rsidR="00000000" w:rsidP="00F90D63">
            <w:pPr>
              <w:pStyle w:val="ListBullet"/>
              <w:rPr>
                <w:lang w:val="en-NZ"/>
              </w:rPr>
            </w:pPr>
            <w:r w:rsidRPr="00F90D63">
              <w:t>calculate costs of services.</w:t>
            </w:r>
          </w:p>
        </w:tc>
      </w:tr>
      <w:tr w:rsidTr="00F90D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0D63">
            <w:pPr>
              <w:pStyle w:val="BodyText"/>
              <w:rPr>
                <w:lang w:val="en-NZ"/>
              </w:rPr>
            </w:pPr>
            <w:r w:rsidRPr="00F90D63">
              <w:t>Technology skills to:</w:t>
            </w:r>
          </w:p>
        </w:tc>
        <w:tc>
          <w:tcPr>
            <w:tcW w:w="6350" w:type="dxa"/>
            <w:tcBorders>
              <w:top w:val="nil"/>
              <w:left w:val="nil"/>
              <w:bottom w:val="nil"/>
              <w:right w:val="nil"/>
            </w:tcBorders>
            <w:tcMar>
              <w:top w:w="0" w:type="dxa"/>
              <w:left w:w="62" w:type="dxa"/>
              <w:bottom w:w="0" w:type="dxa"/>
              <w:right w:w="62" w:type="dxa"/>
            </w:tcMar>
          </w:tcPr>
          <w:p w:rsidR="00000000" w:rsidRPr="00F90D63" w:rsidP="00F90D63">
            <w:pPr>
              <w:pStyle w:val="ListBullet"/>
            </w:pPr>
            <w:r w:rsidRPr="00F90D63">
              <w:t xml:space="preserve">use features of software packages to complete tertiary </w:t>
            </w:r>
            <w:r w:rsidRPr="00F90D63">
              <w:t>service documentation.</w:t>
            </w:r>
          </w:p>
        </w:tc>
      </w:tr>
    </w:tbl>
    <w:p w:rsidR="00000000" w:rsidRPr="00F90D63" w:rsidP="00F90D63">
      <w:pPr>
        <w:pStyle w:val="BodyText"/>
      </w:pPr>
    </w:p>
    <w:p w:rsidR="00000000" w:rsidRPr="00F90D63" w:rsidP="00F90D63">
      <w:pPr>
        <w:pStyle w:val="AllowPageBreak"/>
      </w:pPr>
    </w:p>
    <w:p w:rsidR="00000000" w:rsidRPr="00F90D63" w:rsidP="00F90D63">
      <w:pPr>
        <w:pStyle w:val="Heading1"/>
      </w:pPr>
      <w:bookmarkStart w:id="8" w:name="O_1278465"/>
      <w:bookmarkEnd w:id="8"/>
      <w:r w:rsidRPr="00F90D63">
        <w:t>Unit Mapping Information</w:t>
      </w:r>
    </w:p>
    <w:p w:rsidR="00000000" w:rsidRPr="00F90D63" w:rsidP="0017765C">
      <w:pPr>
        <w:pStyle w:val="BodyText"/>
      </w:pPr>
      <w:r w:rsidRPr="00F90D63">
        <w:t>This unit supersedes and is not equivalent to HLTAHW043 Facilitate access to tertiary health services.</w:t>
      </w:r>
    </w:p>
    <w:p w:rsidR="00000000" w:rsidRPr="00F90D63" w:rsidP="00F90D63">
      <w:pPr>
        <w:pStyle w:val="Heading1"/>
      </w:pPr>
      <w:bookmarkStart w:id="9" w:name="O_1278472"/>
      <w:bookmarkEnd w:id="9"/>
      <w:r w:rsidRPr="00F90D63">
        <w:t>Links</w:t>
      </w:r>
    </w:p>
    <w:p w:rsidR="00000000" w:rsidRPr="00F90D63" w:rsidP="0017765C">
      <w:pPr>
        <w:pStyle w:val="BodyText"/>
      </w:pPr>
      <w:r w:rsidRPr="00F90D6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E7BF4">
        <w:rPr>
          <w:rStyle w:val="Hyperlink"/>
        </w:rPr>
        <w:t>https://vetnet.gov.au/Pages/TrainingDocs.aspx?q=ced1390f-48d9-4ab0-bd50-b015e5485705</w:t>
      </w:r>
      <w:r>
        <w:fldChar w:fldCharType="end"/>
      </w:r>
    </w:p>
    <w:p w:rsidR="00000000" w:rsidRPr="00F90D63" w:rsidP="00F90D63"/>
    <w:sectPr w:rsidSect="00F90D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63" w:rsidRPr="0017765C" w:rsidP="001776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5C" w:rsidP="00F90D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765C" w:rsidP="00F90D6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7765C" w:rsidP="00F90D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D63" w:rsidRPr="0017765C" w:rsidP="001776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5C" w:rsidRPr="002D2AF8" w:rsidP="00F90D63">
    <w:pPr>
      <w:pStyle w:val="Header"/>
      <w:framePr w:wrap="around"/>
    </w:pPr>
    <w:r>
      <w:fldChar w:fldCharType="begin"/>
    </w:r>
    <w:r>
      <w:instrText xml:space="preserve"> TITLE   \* MERGEFORMAT </w:instrText>
    </w:r>
    <w:r>
      <w:fldChar w:fldCharType="separate"/>
    </w:r>
    <w:r>
      <w:t>HLTAHCS015 Facilitate access to tertiary health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7765C" w:rsidP="00F90D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1845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A814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D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D63"/>
    <w:pPr>
      <w:spacing w:before="360" w:after="60"/>
      <w:outlineLvl w:val="0"/>
    </w:pPr>
    <w:rPr>
      <w:sz w:val="32"/>
    </w:rPr>
  </w:style>
  <w:style w:type="paragraph" w:styleId="Heading2">
    <w:name w:val="heading 2"/>
    <w:basedOn w:val="HeadingBase"/>
    <w:next w:val="BodyText"/>
    <w:link w:val="Heading2Char"/>
    <w:qFormat/>
    <w:rsid w:val="00F90D63"/>
    <w:pPr>
      <w:keepLines/>
      <w:spacing w:before="240" w:after="120"/>
      <w:outlineLvl w:val="1"/>
    </w:pPr>
    <w:rPr>
      <w:sz w:val="28"/>
      <w:szCs w:val="40"/>
    </w:rPr>
  </w:style>
  <w:style w:type="paragraph" w:styleId="Heading3">
    <w:name w:val="heading 3"/>
    <w:basedOn w:val="HeadingBase"/>
    <w:next w:val="BodyText"/>
    <w:link w:val="Heading3Char"/>
    <w:qFormat/>
    <w:rsid w:val="00F90D63"/>
    <w:pPr>
      <w:spacing w:before="180" w:after="120"/>
      <w:outlineLvl w:val="2"/>
    </w:pPr>
    <w:rPr>
      <w:spacing w:val="-10"/>
      <w:kern w:val="32"/>
    </w:rPr>
  </w:style>
  <w:style w:type="paragraph" w:styleId="Heading4">
    <w:name w:val="heading 4"/>
    <w:basedOn w:val="HeadingBase"/>
    <w:next w:val="BodyText"/>
    <w:link w:val="Heading4Char"/>
    <w:qFormat/>
    <w:rsid w:val="00F90D63"/>
    <w:pPr>
      <w:spacing w:before="160" w:after="120"/>
      <w:outlineLvl w:val="3"/>
    </w:pPr>
    <w:rPr>
      <w:sz w:val="22"/>
    </w:rPr>
  </w:style>
  <w:style w:type="paragraph" w:styleId="Heading5">
    <w:name w:val="heading 5"/>
    <w:basedOn w:val="HeadingBase"/>
    <w:next w:val="Normal"/>
    <w:link w:val="Heading5Char"/>
    <w:qFormat/>
    <w:rsid w:val="00F90D63"/>
    <w:pPr>
      <w:spacing w:before="80"/>
      <w:outlineLvl w:val="4"/>
    </w:pPr>
    <w:rPr>
      <w:color w:val="918585"/>
      <w:sz w:val="20"/>
    </w:rPr>
  </w:style>
  <w:style w:type="paragraph" w:styleId="Heading6">
    <w:name w:val="heading 6"/>
    <w:basedOn w:val="HeadingBase"/>
    <w:next w:val="Normal"/>
    <w:link w:val="Heading6Char"/>
    <w:qFormat/>
    <w:rsid w:val="00F90D63"/>
    <w:pPr>
      <w:spacing w:before="60"/>
      <w:outlineLvl w:val="5"/>
    </w:pPr>
    <w:rPr>
      <w:color w:val="918585"/>
      <w:sz w:val="20"/>
    </w:rPr>
  </w:style>
  <w:style w:type="paragraph" w:styleId="Heading7">
    <w:name w:val="heading 7"/>
    <w:basedOn w:val="Normal"/>
    <w:next w:val="Normal"/>
    <w:link w:val="Heading7Char"/>
    <w:qFormat/>
    <w:rsid w:val="00F90D63"/>
    <w:pPr>
      <w:ind w:left="720"/>
      <w:outlineLvl w:val="6"/>
    </w:pPr>
    <w:rPr>
      <w:i/>
    </w:rPr>
  </w:style>
  <w:style w:type="paragraph" w:styleId="Heading8">
    <w:name w:val="heading 8"/>
    <w:basedOn w:val="Normal"/>
    <w:next w:val="Normal"/>
    <w:link w:val="Heading8Char"/>
    <w:qFormat/>
    <w:rsid w:val="00F90D63"/>
    <w:pPr>
      <w:ind w:left="720"/>
      <w:outlineLvl w:val="7"/>
    </w:pPr>
    <w:rPr>
      <w:i/>
    </w:rPr>
  </w:style>
  <w:style w:type="paragraph" w:styleId="Heading9">
    <w:name w:val="heading 9"/>
    <w:basedOn w:val="Normal"/>
    <w:next w:val="Normal"/>
    <w:link w:val="Heading9Char"/>
    <w:qFormat/>
    <w:rsid w:val="00F90D63"/>
    <w:pPr>
      <w:ind w:left="720"/>
      <w:outlineLvl w:val="8"/>
    </w:pPr>
    <w:rPr>
      <w:i/>
    </w:rPr>
  </w:style>
  <w:style w:type="character" w:default="1" w:styleId="DefaultParagraphFont">
    <w:name w:val="Default Paragraph Font"/>
    <w:uiPriority w:val="1"/>
    <w:unhideWhenUsed/>
    <w:rsid w:val="00F90D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D63"/>
  </w:style>
  <w:style w:type="character" w:customStyle="1" w:styleId="Heading1Char">
    <w:name w:val="Heading 1 Char"/>
    <w:basedOn w:val="DefaultParagraphFont"/>
    <w:link w:val="Heading1"/>
    <w:rsid w:val="00F90D63"/>
    <w:rPr>
      <w:rFonts w:ascii="Times New Roman" w:eastAsia="Times New Roman" w:hAnsi="Times New Roman" w:cs="Times New Roman"/>
      <w:b/>
      <w:sz w:val="32"/>
      <w:szCs w:val="20"/>
      <w:lang w:eastAsia="en-US"/>
    </w:rPr>
  </w:style>
  <w:style w:type="paragraph" w:styleId="BodyText">
    <w:name w:val="Body Text"/>
    <w:basedOn w:val="Normal"/>
    <w:link w:val="BodyTextChar"/>
    <w:rsid w:val="00F90D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D63"/>
    <w:rPr>
      <w:rFonts w:ascii="Times New Roman" w:eastAsia="Times New Roman" w:hAnsi="Times New Roman" w:cs="Times New Roman"/>
      <w:sz w:val="24"/>
      <w:lang w:eastAsia="en-US"/>
    </w:rPr>
  </w:style>
  <w:style w:type="paragraph" w:styleId="List">
    <w:name w:val="List"/>
    <w:basedOn w:val="BodyText"/>
    <w:next w:val="BodyText"/>
    <w:rsid w:val="00F90D63"/>
    <w:pPr>
      <w:tabs>
        <w:tab w:val="left" w:pos="340"/>
      </w:tabs>
      <w:spacing w:before="60" w:after="60"/>
      <w:ind w:left="340" w:hanging="340"/>
    </w:pPr>
  </w:style>
  <w:style w:type="paragraph" w:styleId="ListBullet">
    <w:name w:val="List Bullet"/>
    <w:basedOn w:val="List"/>
    <w:rsid w:val="00F90D63"/>
    <w:pPr>
      <w:numPr>
        <w:numId w:val="11"/>
      </w:numPr>
      <w:tabs>
        <w:tab w:val="clear" w:pos="340"/>
      </w:tabs>
      <w:spacing w:before="40" w:after="40"/>
    </w:pPr>
  </w:style>
  <w:style w:type="character" w:customStyle="1" w:styleId="SpecialBold">
    <w:name w:val="Special Bold"/>
    <w:basedOn w:val="DefaultParagraphFont"/>
    <w:rsid w:val="00F90D63"/>
    <w:rPr>
      <w:b/>
      <w:spacing w:val="0"/>
    </w:rPr>
  </w:style>
  <w:style w:type="character" w:styleId="Emphasis">
    <w:name w:val="Emphasis"/>
    <w:basedOn w:val="DefaultParagraphFont"/>
    <w:qFormat/>
    <w:rsid w:val="00F90D63"/>
    <w:rPr>
      <w:i/>
    </w:rPr>
  </w:style>
  <w:style w:type="paragraph" w:customStyle="1" w:styleId="SuperHeading">
    <w:name w:val="SuperHeading"/>
    <w:basedOn w:val="Normal"/>
    <w:rsid w:val="00F90D63"/>
    <w:pPr>
      <w:spacing w:before="240" w:after="120"/>
      <w:outlineLvl w:val="0"/>
    </w:pPr>
    <w:rPr>
      <w:rFonts w:ascii="Times New Roman" w:hAnsi="Times New Roman"/>
      <w:b/>
      <w:sz w:val="32"/>
    </w:rPr>
  </w:style>
  <w:style w:type="paragraph" w:customStyle="1" w:styleId="AllowPageBreak">
    <w:name w:val="AllowPageBreak"/>
    <w:rsid w:val="00F90D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0D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D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D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D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D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D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D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D63"/>
    <w:rPr>
      <w:rFonts w:ascii="Courier New" w:eastAsia="Times New Roman" w:hAnsi="Courier New" w:cs="Times New Roman"/>
      <w:i/>
      <w:szCs w:val="20"/>
      <w:lang w:eastAsia="en-US"/>
    </w:rPr>
  </w:style>
  <w:style w:type="paragraph" w:customStyle="1" w:styleId="HeadingBase">
    <w:name w:val="Heading Base"/>
    <w:rsid w:val="00F90D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D63"/>
    <w:pPr>
      <w:tabs>
        <w:tab w:val="right" w:leader="dot" w:pos="9072"/>
      </w:tabs>
      <w:ind w:left="567"/>
    </w:pPr>
    <w:rPr>
      <w:szCs w:val="22"/>
    </w:rPr>
  </w:style>
  <w:style w:type="paragraph" w:customStyle="1" w:styleId="TOCBase">
    <w:name w:val="TOC Base"/>
    <w:rsid w:val="00F90D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D63"/>
    <w:pPr>
      <w:tabs>
        <w:tab w:val="right" w:leader="dot" w:pos="9072"/>
      </w:tabs>
      <w:spacing w:before="40" w:after="40"/>
      <w:ind w:left="284"/>
    </w:pPr>
    <w:rPr>
      <w:rFonts w:ascii="Times New Roman" w:hAnsi="Times New Roman"/>
    </w:rPr>
  </w:style>
  <w:style w:type="paragraph" w:styleId="TOC1">
    <w:name w:val="toc 1"/>
    <w:basedOn w:val="TOCBase"/>
    <w:next w:val="Normal"/>
    <w:rsid w:val="00F90D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D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D63"/>
    <w:rPr>
      <w:rFonts w:ascii="Times New Roman" w:eastAsia="Times New Roman" w:hAnsi="Times New Roman" w:cs="Times New Roman"/>
      <w:sz w:val="16"/>
      <w:lang w:eastAsia="en-US"/>
    </w:rPr>
  </w:style>
  <w:style w:type="paragraph" w:styleId="Title">
    <w:name w:val="Title"/>
    <w:basedOn w:val="HeadingBase"/>
    <w:link w:val="TitleChar"/>
    <w:qFormat/>
    <w:rsid w:val="00F90D63"/>
    <w:pPr>
      <w:spacing w:before="5040"/>
      <w:jc w:val="center"/>
    </w:pPr>
    <w:rPr>
      <w:sz w:val="48"/>
      <w:szCs w:val="72"/>
      <w:lang w:val="en-US"/>
    </w:rPr>
  </w:style>
  <w:style w:type="character" w:customStyle="1" w:styleId="TitleChar">
    <w:name w:val="Title Char"/>
    <w:basedOn w:val="DefaultParagraphFont"/>
    <w:link w:val="Title"/>
    <w:rsid w:val="00F90D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D63"/>
    <w:pPr>
      <w:tabs>
        <w:tab w:val="left" w:pos="3600"/>
        <w:tab w:val="left" w:pos="3958"/>
      </w:tabs>
    </w:pPr>
  </w:style>
  <w:style w:type="paragraph" w:customStyle="1" w:styleId="Note">
    <w:name w:val="Note"/>
    <w:basedOn w:val="BodyText"/>
    <w:rsid w:val="00F90D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D63"/>
    <w:pPr>
      <w:framePr w:wrap="auto" w:hAnchor="text" w:y="6049"/>
    </w:pPr>
    <w:rPr>
      <w:color w:val="000000"/>
      <w:sz w:val="40"/>
    </w:rPr>
  </w:style>
  <w:style w:type="paragraph" w:customStyle="1" w:styleId="TOCTitle">
    <w:name w:val="TOCTitle"/>
    <w:basedOn w:val="Heading1"/>
    <w:rsid w:val="00F90D63"/>
    <w:pPr>
      <w:spacing w:after="240"/>
      <w:jc w:val="center"/>
      <w:outlineLvl w:val="9"/>
    </w:pPr>
    <w:rPr>
      <w:caps/>
    </w:rPr>
  </w:style>
  <w:style w:type="paragraph" w:customStyle="1" w:styleId="Version">
    <w:name w:val="Version"/>
    <w:rsid w:val="00F90D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0D63"/>
    <w:pPr>
      <w:numPr>
        <w:numId w:val="12"/>
      </w:numPr>
      <w:tabs>
        <w:tab w:val="clear" w:pos="680"/>
      </w:tabs>
    </w:pPr>
  </w:style>
  <w:style w:type="paragraph" w:styleId="Index1">
    <w:name w:val="index 1"/>
    <w:basedOn w:val="Normal"/>
    <w:next w:val="Normal"/>
    <w:semiHidden/>
    <w:rsid w:val="00F90D63"/>
    <w:pPr>
      <w:keepNext w:val="0"/>
      <w:tabs>
        <w:tab w:val="right" w:pos="4176"/>
      </w:tabs>
      <w:ind w:left="198" w:hanging="198"/>
    </w:pPr>
    <w:rPr>
      <w:rFonts w:ascii="Garamond" w:hAnsi="Garamond"/>
    </w:rPr>
  </w:style>
  <w:style w:type="paragraph" w:styleId="IndexHeading">
    <w:name w:val="index heading"/>
    <w:basedOn w:val="Normal"/>
    <w:next w:val="Index1"/>
    <w:semiHidden/>
    <w:rsid w:val="00F90D63"/>
    <w:pPr>
      <w:spacing w:before="120" w:after="120"/>
    </w:pPr>
    <w:rPr>
      <w:rFonts w:ascii="Arial" w:hAnsi="Arial"/>
      <w:b/>
      <w:color w:val="918585"/>
      <w:sz w:val="24"/>
    </w:rPr>
  </w:style>
  <w:style w:type="paragraph" w:styleId="Header">
    <w:name w:val="header"/>
    <w:basedOn w:val="Normal"/>
    <w:link w:val="HeaderChar"/>
    <w:rsid w:val="00F90D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D63"/>
    <w:rPr>
      <w:rFonts w:ascii="Times New Roman" w:eastAsia="Times New Roman" w:hAnsi="Times New Roman" w:cs="Times New Roman"/>
      <w:sz w:val="16"/>
      <w:szCs w:val="20"/>
      <w:lang w:val="en-GB" w:eastAsia="en-US"/>
    </w:rPr>
  </w:style>
  <w:style w:type="paragraph" w:customStyle="1" w:styleId="Chapter">
    <w:name w:val="Chapter"/>
    <w:basedOn w:val="Normal"/>
    <w:rsid w:val="00F90D63"/>
    <w:pPr>
      <w:spacing w:before="240"/>
    </w:pPr>
    <w:rPr>
      <w:rFonts w:ascii="Times New Roman" w:hAnsi="Times New Roman"/>
      <w:smallCaps/>
      <w:spacing w:val="80"/>
      <w:sz w:val="28"/>
    </w:rPr>
  </w:style>
  <w:style w:type="paragraph" w:customStyle="1" w:styleId="InChapter">
    <w:name w:val="InChapter"/>
    <w:basedOn w:val="Heading3"/>
    <w:rsid w:val="00F90D63"/>
    <w:pPr>
      <w:spacing w:after="240"/>
      <w:outlineLvl w:val="9"/>
    </w:pPr>
    <w:rPr>
      <w:noProof/>
    </w:rPr>
  </w:style>
  <w:style w:type="paragraph" w:styleId="Index2">
    <w:name w:val="index 2"/>
    <w:basedOn w:val="Normal"/>
    <w:next w:val="Normal"/>
    <w:semiHidden/>
    <w:rsid w:val="00F90D63"/>
    <w:pPr>
      <w:tabs>
        <w:tab w:val="right" w:pos="4176"/>
      </w:tabs>
      <w:ind w:left="568" w:hanging="284"/>
    </w:pPr>
    <w:rPr>
      <w:rFonts w:ascii="Garamond" w:hAnsi="Garamond"/>
    </w:rPr>
  </w:style>
  <w:style w:type="paragraph" w:customStyle="1" w:styleId="Byline">
    <w:name w:val="Byline"/>
    <w:rsid w:val="00F90D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D63"/>
    <w:pPr>
      <w:tabs>
        <w:tab w:val="clear" w:pos="3600"/>
        <w:tab w:val="clear" w:pos="3958"/>
      </w:tabs>
      <w:jc w:val="right"/>
    </w:pPr>
  </w:style>
  <w:style w:type="paragraph" w:styleId="Caption">
    <w:name w:val="caption"/>
    <w:basedOn w:val="BodyText"/>
    <w:next w:val="Normal"/>
    <w:qFormat/>
    <w:rsid w:val="00F90D63"/>
    <w:pPr>
      <w:framePr w:w="2268" w:hSpace="181" w:vSpace="181" w:wrap="around" w:vAnchor="text" w:hAnchor="page" w:x="1135" w:y="285" w:anchorLock="1"/>
    </w:pPr>
    <w:rPr>
      <w:i/>
    </w:rPr>
  </w:style>
  <w:style w:type="paragraph" w:customStyle="1" w:styleId="MiniTOCTitle">
    <w:name w:val="MiniTOCTitle"/>
    <w:basedOn w:val="Heading4"/>
    <w:rsid w:val="00F90D63"/>
    <w:pPr>
      <w:spacing w:before="240"/>
      <w:outlineLvl w:val="9"/>
    </w:pPr>
    <w:rPr>
      <w:noProof/>
      <w:sz w:val="24"/>
    </w:rPr>
  </w:style>
  <w:style w:type="paragraph" w:customStyle="1" w:styleId="MiniTOCItem">
    <w:name w:val="MiniTOCItem"/>
    <w:basedOn w:val="ListBullet"/>
    <w:rsid w:val="00F90D63"/>
    <w:pPr>
      <w:numPr>
        <w:numId w:val="0"/>
      </w:numPr>
      <w:tabs>
        <w:tab w:val="right" w:leader="dot" w:pos="6521"/>
      </w:tabs>
      <w:spacing w:before="0" w:after="0"/>
    </w:pPr>
  </w:style>
  <w:style w:type="paragraph" w:customStyle="1" w:styleId="TOFTitle">
    <w:name w:val="TOFTitle"/>
    <w:basedOn w:val="TOCTitle"/>
    <w:rsid w:val="00F90D63"/>
  </w:style>
  <w:style w:type="paragraph" w:styleId="TableofFigures">
    <w:name w:val="table of figures"/>
    <w:basedOn w:val="Normal"/>
    <w:next w:val="Normal"/>
    <w:semiHidden/>
    <w:rsid w:val="00F90D63"/>
    <w:pPr>
      <w:tabs>
        <w:tab w:val="right" w:leader="dot" w:pos="9072"/>
      </w:tabs>
      <w:ind w:left="970" w:hanging="403"/>
    </w:pPr>
    <w:rPr>
      <w:rFonts w:ascii="Times New Roman" w:hAnsi="Times New Roman"/>
      <w:b/>
    </w:rPr>
  </w:style>
  <w:style w:type="paragraph" w:styleId="ListNumber">
    <w:name w:val="List Number"/>
    <w:basedOn w:val="List"/>
    <w:rsid w:val="00F90D63"/>
    <w:pPr>
      <w:numPr>
        <w:numId w:val="14"/>
      </w:numPr>
      <w:tabs>
        <w:tab w:val="clear" w:pos="340"/>
      </w:tabs>
    </w:pPr>
  </w:style>
  <w:style w:type="character" w:customStyle="1" w:styleId="WingdingSymbols">
    <w:name w:val="Wingding Symbols"/>
    <w:rsid w:val="00F90D63"/>
    <w:rPr>
      <w:rFonts w:ascii="Wingdings" w:hAnsi="Wingdings"/>
    </w:rPr>
  </w:style>
  <w:style w:type="paragraph" w:customStyle="1" w:styleId="TableHeading">
    <w:name w:val="Table Heading"/>
    <w:basedOn w:val="HeadingBase"/>
    <w:rsid w:val="00F90D63"/>
    <w:pPr>
      <w:keepLines/>
      <w:pBdr>
        <w:bottom w:val="single" w:sz="6" w:space="1" w:color="918585"/>
      </w:pBdr>
      <w:spacing w:before="240"/>
    </w:pPr>
  </w:style>
  <w:style w:type="character" w:customStyle="1" w:styleId="HotSpot">
    <w:name w:val="HotSpot"/>
    <w:rsid w:val="00F90D63"/>
    <w:rPr>
      <w:color w:val="0033CC"/>
      <w:u w:val="none"/>
    </w:rPr>
  </w:style>
  <w:style w:type="paragraph" w:customStyle="1" w:styleId="BodyTextRight">
    <w:name w:val="Body Text Right"/>
    <w:basedOn w:val="BodyText"/>
    <w:rsid w:val="00F90D63"/>
    <w:pPr>
      <w:spacing w:before="0" w:after="0"/>
      <w:jc w:val="right"/>
    </w:pPr>
  </w:style>
  <w:style w:type="paragraph" w:styleId="Index3">
    <w:name w:val="index 3"/>
    <w:basedOn w:val="ListNumber2"/>
    <w:next w:val="Normal"/>
    <w:semiHidden/>
    <w:rsid w:val="00F90D63"/>
    <w:pPr>
      <w:numPr>
        <w:numId w:val="0"/>
      </w:numPr>
      <w:tabs>
        <w:tab w:val="right" w:leader="dot" w:pos="4176"/>
      </w:tabs>
    </w:pPr>
  </w:style>
  <w:style w:type="paragraph" w:styleId="ListNumber2">
    <w:name w:val="List Number 2"/>
    <w:basedOn w:val="List2"/>
    <w:rsid w:val="00F90D63"/>
    <w:pPr>
      <w:numPr>
        <w:numId w:val="9"/>
      </w:numPr>
      <w:tabs>
        <w:tab w:val="clear" w:pos="1060"/>
      </w:tabs>
    </w:pPr>
  </w:style>
  <w:style w:type="paragraph" w:customStyle="1" w:styleId="MarginNote">
    <w:name w:val="Margin Note"/>
    <w:basedOn w:val="BodyText"/>
    <w:rsid w:val="00F90D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D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D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D63"/>
    <w:rPr>
      <w:sz w:val="32"/>
    </w:rPr>
  </w:style>
  <w:style w:type="paragraph" w:customStyle="1" w:styleId="HeadingProcedure">
    <w:name w:val="Heading Procedure"/>
    <w:basedOn w:val="HeadingBase"/>
    <w:next w:val="Normal"/>
    <w:rsid w:val="00F90D63"/>
    <w:pPr>
      <w:tabs>
        <w:tab w:val="left" w:pos="0"/>
      </w:tabs>
      <w:spacing w:before="120" w:after="60"/>
    </w:pPr>
    <w:rPr>
      <w:i/>
      <w:color w:val="918585"/>
      <w:sz w:val="22"/>
    </w:rPr>
  </w:style>
  <w:style w:type="paragraph" w:customStyle="1" w:styleId="TableBodyText">
    <w:name w:val="Table Body Text"/>
    <w:basedOn w:val="BodyText"/>
    <w:rsid w:val="00F90D63"/>
    <w:pPr>
      <w:spacing w:before="60" w:after="60"/>
    </w:pPr>
  </w:style>
  <w:style w:type="paragraph" w:styleId="ListContinue">
    <w:name w:val="List Continue"/>
    <w:basedOn w:val="List"/>
    <w:rsid w:val="00F90D63"/>
    <w:pPr>
      <w:ind w:firstLine="0"/>
    </w:pPr>
  </w:style>
  <w:style w:type="paragraph" w:customStyle="1" w:styleId="ListNote">
    <w:name w:val="List Note"/>
    <w:basedOn w:val="List"/>
    <w:rsid w:val="00F90D63"/>
    <w:pPr>
      <w:pBdr>
        <w:top w:val="single" w:sz="6" w:space="2" w:color="918585"/>
        <w:bottom w:val="single" w:sz="6" w:space="2" w:color="918585"/>
      </w:pBdr>
      <w:tabs>
        <w:tab w:val="left" w:pos="1021"/>
      </w:tabs>
      <w:ind w:firstLine="0"/>
    </w:pPr>
  </w:style>
  <w:style w:type="paragraph" w:customStyle="1" w:styleId="Warning">
    <w:name w:val="Warning"/>
    <w:basedOn w:val="BodyText"/>
    <w:rsid w:val="00F90D63"/>
    <w:pPr>
      <w:shd w:val="clear" w:color="auto" w:fill="D9D9D9"/>
      <w:tabs>
        <w:tab w:val="left" w:pos="992"/>
      </w:tabs>
      <w:ind w:left="119" w:right="119"/>
    </w:pPr>
    <w:rPr>
      <w:sz w:val="20"/>
    </w:rPr>
  </w:style>
  <w:style w:type="paragraph" w:customStyle="1" w:styleId="MarginIcons">
    <w:name w:val="Margin Icons"/>
    <w:basedOn w:val="BodyText"/>
    <w:rsid w:val="00F90D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D63"/>
    <w:rPr>
      <w:rFonts w:ascii="Courier New" w:hAnsi="Courier New"/>
    </w:rPr>
  </w:style>
  <w:style w:type="paragraph" w:customStyle="1" w:styleId="NoteBullet">
    <w:name w:val="Note Bullet"/>
    <w:basedOn w:val="Note"/>
    <w:rsid w:val="00F90D63"/>
    <w:pPr>
      <w:tabs>
        <w:tab w:val="clear" w:pos="680"/>
      </w:tabs>
      <w:spacing w:before="60" w:after="60"/>
    </w:pPr>
  </w:style>
  <w:style w:type="paragraph" w:customStyle="1" w:styleId="SubHeading2">
    <w:name w:val="SubHeading2"/>
    <w:basedOn w:val="HeadingBase"/>
    <w:rsid w:val="00F90D63"/>
    <w:pPr>
      <w:spacing w:before="240" w:after="60"/>
    </w:pPr>
    <w:rPr>
      <w:sz w:val="20"/>
    </w:rPr>
  </w:style>
  <w:style w:type="paragraph" w:customStyle="1" w:styleId="SubHeading1">
    <w:name w:val="SubHeading1"/>
    <w:basedOn w:val="HeadingBase"/>
    <w:rsid w:val="00F90D63"/>
    <w:pPr>
      <w:spacing w:before="240" w:after="60"/>
    </w:pPr>
    <w:rPr>
      <w:color w:val="918585"/>
      <w:sz w:val="22"/>
    </w:rPr>
  </w:style>
  <w:style w:type="paragraph" w:customStyle="1" w:styleId="SideHeading">
    <w:name w:val="Side Heading"/>
    <w:basedOn w:val="HeadingBase"/>
    <w:rsid w:val="00F90D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D63"/>
    <w:pPr>
      <w:numPr>
        <w:numId w:val="10"/>
      </w:numPr>
    </w:pPr>
  </w:style>
  <w:style w:type="paragraph" w:styleId="PlainText">
    <w:name w:val="Plain Text"/>
    <w:basedOn w:val="Normal"/>
    <w:link w:val="PlainTextChar"/>
    <w:rsid w:val="00F90D63"/>
    <w:rPr>
      <w:sz w:val="20"/>
    </w:rPr>
  </w:style>
  <w:style w:type="character" w:customStyle="1" w:styleId="PlainTextChar">
    <w:name w:val="Plain Text Char"/>
    <w:basedOn w:val="DefaultParagraphFont"/>
    <w:link w:val="PlainText"/>
    <w:rsid w:val="00F90D63"/>
    <w:rPr>
      <w:rFonts w:ascii="Courier New" w:eastAsia="Times New Roman" w:hAnsi="Courier New" w:cs="Times New Roman"/>
      <w:sz w:val="20"/>
      <w:szCs w:val="20"/>
      <w:lang w:eastAsia="en-US"/>
    </w:rPr>
  </w:style>
  <w:style w:type="character" w:customStyle="1" w:styleId="MenuOption">
    <w:name w:val="Menu Option"/>
    <w:basedOn w:val="DefaultParagraphFont"/>
    <w:rsid w:val="00F90D63"/>
    <w:rPr>
      <w:b/>
      <w:smallCaps/>
    </w:rPr>
  </w:style>
  <w:style w:type="paragraph" w:customStyle="1" w:styleId="TableListNumber">
    <w:name w:val="Table List Number"/>
    <w:basedOn w:val="ListNumber"/>
    <w:rsid w:val="00F90D63"/>
    <w:pPr>
      <w:numPr>
        <w:numId w:val="0"/>
      </w:numPr>
    </w:pPr>
  </w:style>
  <w:style w:type="paragraph" w:styleId="TOC4">
    <w:name w:val="toc 4"/>
    <w:basedOn w:val="TOCBase"/>
    <w:next w:val="Normal"/>
    <w:semiHidden/>
    <w:rsid w:val="00F90D63"/>
    <w:pPr>
      <w:tabs>
        <w:tab w:val="right" w:leader="dot" w:pos="9071"/>
      </w:tabs>
      <w:ind w:left="1701"/>
    </w:pPr>
  </w:style>
  <w:style w:type="paragraph" w:customStyle="1" w:styleId="ListAlpha">
    <w:name w:val="List Alpha"/>
    <w:basedOn w:val="List"/>
    <w:rsid w:val="00F90D63"/>
    <w:pPr>
      <w:numPr>
        <w:numId w:val="8"/>
      </w:numPr>
    </w:pPr>
  </w:style>
  <w:style w:type="paragraph" w:customStyle="1" w:styleId="ListAlpha2">
    <w:name w:val="List Alpha 2"/>
    <w:basedOn w:val="List2"/>
    <w:rsid w:val="00F90D63"/>
    <w:pPr>
      <w:numPr>
        <w:numId w:val="7"/>
      </w:numPr>
    </w:pPr>
  </w:style>
  <w:style w:type="paragraph" w:styleId="List2">
    <w:name w:val="List 2"/>
    <w:basedOn w:val="BodyText"/>
    <w:rsid w:val="00F90D63"/>
    <w:pPr>
      <w:tabs>
        <w:tab w:val="left" w:pos="680"/>
      </w:tabs>
      <w:spacing w:before="60" w:after="60"/>
      <w:ind w:left="680" w:hanging="340"/>
    </w:pPr>
  </w:style>
  <w:style w:type="paragraph" w:styleId="List3">
    <w:name w:val="List 3"/>
    <w:basedOn w:val="BodyText"/>
    <w:rsid w:val="00F90D63"/>
    <w:pPr>
      <w:tabs>
        <w:tab w:val="left" w:pos="1021"/>
      </w:tabs>
      <w:spacing w:before="60" w:after="60"/>
      <w:ind w:left="1020" w:hanging="340"/>
    </w:pPr>
  </w:style>
  <w:style w:type="paragraph" w:styleId="List4">
    <w:name w:val="List 4"/>
    <w:basedOn w:val="BodyText"/>
    <w:rsid w:val="00F90D63"/>
    <w:pPr>
      <w:tabs>
        <w:tab w:val="left" w:pos="1361"/>
      </w:tabs>
      <w:spacing w:before="60" w:after="60"/>
      <w:ind w:left="1361" w:hanging="340"/>
    </w:pPr>
  </w:style>
  <w:style w:type="paragraph" w:styleId="List5">
    <w:name w:val="List 5"/>
    <w:basedOn w:val="BodyText"/>
    <w:rsid w:val="00F90D63"/>
    <w:pPr>
      <w:tabs>
        <w:tab w:val="left" w:pos="1701"/>
      </w:tabs>
      <w:spacing w:before="60" w:after="60"/>
      <w:ind w:left="1701" w:hanging="340"/>
    </w:pPr>
  </w:style>
  <w:style w:type="paragraph" w:styleId="ListBullet3">
    <w:name w:val="List Bullet 3"/>
    <w:basedOn w:val="List3"/>
    <w:rsid w:val="00F90D63"/>
    <w:pPr>
      <w:numPr>
        <w:numId w:val="13"/>
      </w:numPr>
      <w:tabs>
        <w:tab w:val="clear" w:pos="1021"/>
      </w:tabs>
      <w:ind w:left="1037" w:hanging="357"/>
    </w:pPr>
  </w:style>
  <w:style w:type="paragraph" w:styleId="ListBullet4">
    <w:name w:val="List Bullet 4"/>
    <w:basedOn w:val="List4"/>
    <w:rsid w:val="00F90D63"/>
    <w:pPr>
      <w:numPr>
        <w:numId w:val="2"/>
      </w:numPr>
      <w:tabs>
        <w:tab w:val="clear" w:pos="1361"/>
      </w:tabs>
    </w:pPr>
  </w:style>
  <w:style w:type="paragraph" w:styleId="ListBullet5">
    <w:name w:val="List Bullet 5"/>
    <w:basedOn w:val="List5"/>
    <w:rsid w:val="00F90D63"/>
    <w:pPr>
      <w:numPr>
        <w:numId w:val="3"/>
      </w:numPr>
    </w:pPr>
  </w:style>
  <w:style w:type="paragraph" w:styleId="ListContinue2">
    <w:name w:val="List Continue 2"/>
    <w:basedOn w:val="List2"/>
    <w:rsid w:val="00F90D63"/>
    <w:pPr>
      <w:ind w:firstLine="0"/>
    </w:pPr>
  </w:style>
  <w:style w:type="paragraph" w:styleId="ListContinue3">
    <w:name w:val="List Continue 3"/>
    <w:basedOn w:val="List3"/>
    <w:rsid w:val="00F90D63"/>
    <w:pPr>
      <w:ind w:left="1021" w:firstLine="0"/>
    </w:pPr>
  </w:style>
  <w:style w:type="paragraph" w:styleId="ListContinue4">
    <w:name w:val="List Continue 4"/>
    <w:basedOn w:val="List4"/>
    <w:rsid w:val="00F90D63"/>
    <w:pPr>
      <w:ind w:firstLine="0"/>
    </w:pPr>
  </w:style>
  <w:style w:type="paragraph" w:styleId="ListContinue5">
    <w:name w:val="List Continue 5"/>
    <w:basedOn w:val="List5"/>
    <w:rsid w:val="00F90D63"/>
    <w:pPr>
      <w:ind w:firstLine="0"/>
    </w:pPr>
  </w:style>
  <w:style w:type="paragraph" w:styleId="ListNumber3">
    <w:name w:val="List Number 3"/>
    <w:basedOn w:val="List3"/>
    <w:rsid w:val="00F90D63"/>
    <w:pPr>
      <w:numPr>
        <w:numId w:val="4"/>
      </w:numPr>
    </w:pPr>
  </w:style>
  <w:style w:type="paragraph" w:styleId="ListNumber4">
    <w:name w:val="List Number 4"/>
    <w:basedOn w:val="List4"/>
    <w:rsid w:val="00F90D63"/>
    <w:pPr>
      <w:numPr>
        <w:numId w:val="5"/>
      </w:numPr>
    </w:pPr>
  </w:style>
  <w:style w:type="paragraph" w:styleId="ListNumber5">
    <w:name w:val="List Number 5"/>
    <w:basedOn w:val="List5"/>
    <w:rsid w:val="00F90D63"/>
    <w:pPr>
      <w:numPr>
        <w:numId w:val="6"/>
      </w:numPr>
    </w:pPr>
  </w:style>
  <w:style w:type="paragraph" w:styleId="BlockText">
    <w:name w:val="Block Text"/>
    <w:basedOn w:val="Normal"/>
    <w:rsid w:val="00F90D63"/>
    <w:pPr>
      <w:spacing w:after="120"/>
      <w:ind w:left="1440" w:right="1440"/>
    </w:pPr>
  </w:style>
  <w:style w:type="character" w:customStyle="1" w:styleId="Subscript">
    <w:name w:val="Subscript"/>
    <w:basedOn w:val="DefaultParagraphFont"/>
    <w:rsid w:val="00F90D63"/>
    <w:rPr>
      <w:sz w:val="16"/>
      <w:vertAlign w:val="subscript"/>
    </w:rPr>
  </w:style>
  <w:style w:type="character" w:customStyle="1" w:styleId="Superscript">
    <w:name w:val="Superscript"/>
    <w:basedOn w:val="DefaultParagraphFont"/>
    <w:rsid w:val="00F90D63"/>
    <w:rPr>
      <w:sz w:val="16"/>
      <w:vertAlign w:val="superscript"/>
    </w:rPr>
  </w:style>
  <w:style w:type="character" w:customStyle="1" w:styleId="Symbols">
    <w:name w:val="Symbols"/>
    <w:basedOn w:val="DefaultParagraphFont"/>
    <w:rsid w:val="00F90D63"/>
    <w:rPr>
      <w:rFonts w:ascii="Symbol" w:hAnsi="Symbol"/>
    </w:rPr>
  </w:style>
  <w:style w:type="character" w:customStyle="1" w:styleId="MenuOptions">
    <w:name w:val="Menu Options"/>
    <w:basedOn w:val="DefaultParagraphFont"/>
    <w:rsid w:val="00F90D63"/>
    <w:rPr>
      <w:rFonts w:ascii="Arial Narrow" w:hAnsi="Arial Narrow"/>
      <w:smallCaps/>
    </w:rPr>
  </w:style>
  <w:style w:type="character" w:customStyle="1" w:styleId="Buttons">
    <w:name w:val="Buttons"/>
    <w:basedOn w:val="DefaultParagraphFont"/>
    <w:rsid w:val="00F90D63"/>
    <w:rPr>
      <w:b/>
    </w:rPr>
  </w:style>
  <w:style w:type="character" w:customStyle="1" w:styleId="Underlined">
    <w:name w:val="Underlined"/>
    <w:basedOn w:val="DefaultParagraphFont"/>
    <w:rsid w:val="00F90D63"/>
    <w:rPr>
      <w:u w:val="single"/>
    </w:rPr>
  </w:style>
  <w:style w:type="paragraph" w:customStyle="1" w:styleId="TableBodyTextRight">
    <w:name w:val="Table Body Text Right"/>
    <w:basedOn w:val="TableBodyText"/>
    <w:rsid w:val="00F90D63"/>
    <w:pPr>
      <w:widowControl w:val="0"/>
      <w:autoSpaceDE w:val="0"/>
      <w:autoSpaceDN w:val="0"/>
      <w:adjustRightInd w:val="0"/>
      <w:jc w:val="right"/>
    </w:pPr>
    <w:rPr>
      <w:rFonts w:cs="Arial"/>
      <w:szCs w:val="18"/>
    </w:rPr>
  </w:style>
  <w:style w:type="paragraph" w:customStyle="1" w:styleId="CopyrightText">
    <w:name w:val="Copyright Text"/>
    <w:basedOn w:val="BodyText"/>
    <w:rsid w:val="00F90D63"/>
    <w:rPr>
      <w:sz w:val="18"/>
    </w:rPr>
  </w:style>
  <w:style w:type="paragraph" w:customStyle="1" w:styleId="BodySmallRight">
    <w:name w:val="Body Small Right"/>
    <w:basedOn w:val="BodyTextRight"/>
    <w:rsid w:val="00F90D63"/>
    <w:rPr>
      <w:sz w:val="18"/>
      <w:szCs w:val="18"/>
    </w:rPr>
  </w:style>
  <w:style w:type="paragraph" w:customStyle="1" w:styleId="MarginEdition">
    <w:name w:val="Margin Edition"/>
    <w:basedOn w:val="MarginNote"/>
    <w:rsid w:val="00F90D63"/>
    <w:pPr>
      <w:spacing w:before="0" w:after="0"/>
    </w:pPr>
    <w:rPr>
      <w:rFonts w:ascii="Times New Roman" w:hAnsi="Times New Roman"/>
      <w:color w:val="999999"/>
    </w:rPr>
  </w:style>
  <w:style w:type="paragraph" w:customStyle="1" w:styleId="Spacer">
    <w:name w:val="Spacer"/>
    <w:basedOn w:val="Normal"/>
    <w:rsid w:val="00F90D63"/>
    <w:rPr>
      <w:sz w:val="2"/>
      <w:szCs w:val="2"/>
    </w:rPr>
  </w:style>
  <w:style w:type="character" w:customStyle="1" w:styleId="Small">
    <w:name w:val="Small"/>
    <w:basedOn w:val="DefaultParagraphFont"/>
    <w:rsid w:val="00F90D63"/>
    <w:rPr>
      <w:sz w:val="16"/>
    </w:rPr>
  </w:style>
  <w:style w:type="paragraph" w:customStyle="1" w:styleId="WideTable">
    <w:name w:val="Wide Table"/>
    <w:basedOn w:val="Normal"/>
    <w:rsid w:val="00F90D63"/>
    <w:pPr>
      <w:ind w:left="-1418"/>
    </w:pPr>
    <w:rPr>
      <w:sz w:val="2"/>
      <w:szCs w:val="2"/>
    </w:rPr>
  </w:style>
  <w:style w:type="character" w:styleId="PageNumber">
    <w:name w:val="page number"/>
    <w:basedOn w:val="DefaultParagraphFont"/>
    <w:rsid w:val="00F90D63"/>
  </w:style>
  <w:style w:type="paragraph" w:styleId="Quote">
    <w:name w:val="Quote"/>
    <w:basedOn w:val="Heading1"/>
    <w:link w:val="QuoteChar"/>
    <w:qFormat/>
    <w:rsid w:val="00F90D63"/>
    <w:rPr>
      <w:b w:val="0"/>
      <w:sz w:val="72"/>
      <w:szCs w:val="72"/>
      <w:lang w:val="en-NZ"/>
    </w:rPr>
  </w:style>
  <w:style w:type="character" w:customStyle="1" w:styleId="QuoteChar">
    <w:name w:val="Quote Char"/>
    <w:basedOn w:val="DefaultParagraphFont"/>
    <w:link w:val="Quote"/>
    <w:rsid w:val="00F90D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D63"/>
    <w:pPr>
      <w:pageBreakBefore/>
    </w:pPr>
  </w:style>
  <w:style w:type="paragraph" w:customStyle="1" w:styleId="Border">
    <w:name w:val="Border"/>
    <w:basedOn w:val="Normal"/>
    <w:qFormat/>
    <w:rsid w:val="00F90D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D63"/>
    <w:rPr>
      <w:b/>
      <w:bCs/>
      <w:i/>
      <w:iCs/>
      <w:color w:val="auto"/>
    </w:rPr>
  </w:style>
  <w:style w:type="paragraph" w:styleId="IntenseQuote">
    <w:name w:val="Intense Quote"/>
    <w:basedOn w:val="Normal"/>
    <w:next w:val="Normal"/>
    <w:link w:val="IntenseQuoteChar"/>
    <w:uiPriority w:val="30"/>
    <w:qFormat/>
    <w:rsid w:val="00F90D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D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D63"/>
    <w:rPr>
      <w:smallCaps/>
      <w:color w:val="auto"/>
      <w:u w:val="single"/>
    </w:rPr>
  </w:style>
  <w:style w:type="character" w:styleId="IntenseReference">
    <w:name w:val="Intense Reference"/>
    <w:basedOn w:val="DefaultParagraphFont"/>
    <w:uiPriority w:val="32"/>
    <w:qFormat/>
    <w:rsid w:val="00F90D63"/>
    <w:rPr>
      <w:b/>
      <w:bCs/>
      <w:smallCaps/>
      <w:color w:val="auto"/>
      <w:spacing w:val="5"/>
      <w:u w:val="single"/>
    </w:rPr>
  </w:style>
  <w:style w:type="paragraph" w:customStyle="1" w:styleId="2ColumnHeading">
    <w:name w:val="2Column Heading"/>
    <w:basedOn w:val="BodyText"/>
    <w:qFormat/>
    <w:rsid w:val="00F90D63"/>
    <w:pPr>
      <w:spacing w:after="60"/>
      <w:ind w:left="-2268"/>
    </w:pPr>
    <w:rPr>
      <w:b/>
    </w:rPr>
  </w:style>
  <w:style w:type="paragraph" w:customStyle="1" w:styleId="Heading1TOC">
    <w:name w:val="Heading1 TOC"/>
    <w:basedOn w:val="Normal"/>
    <w:qFormat/>
    <w:rsid w:val="00F90D63"/>
    <w:pPr>
      <w:spacing w:before="240" w:after="120"/>
    </w:pPr>
    <w:rPr>
      <w:rFonts w:ascii="Times New Roman" w:hAnsi="Times New Roman"/>
      <w:b/>
      <w:sz w:val="32"/>
    </w:rPr>
  </w:style>
  <w:style w:type="paragraph" w:customStyle="1" w:styleId="Heading2TOC">
    <w:name w:val="Heading2 TOC"/>
    <w:basedOn w:val="Normal"/>
    <w:qFormat/>
    <w:rsid w:val="00F90D63"/>
    <w:pPr>
      <w:spacing w:before="240" w:after="60"/>
    </w:pPr>
    <w:rPr>
      <w:rFonts w:ascii="Times New Roman" w:hAnsi="Times New Roman"/>
      <w:b/>
      <w:sz w:val="28"/>
    </w:rPr>
  </w:style>
  <w:style w:type="character" w:customStyle="1" w:styleId="Underline">
    <w:name w:val="Underline"/>
    <w:basedOn w:val="DefaultParagraphFont"/>
    <w:qFormat/>
    <w:rsid w:val="00F90D63"/>
    <w:rPr>
      <w:u w:val="single"/>
    </w:rPr>
  </w:style>
  <w:style w:type="character" w:customStyle="1" w:styleId="BoldandItalics">
    <w:name w:val="Bold and Italics"/>
    <w:qFormat/>
    <w:rsid w:val="00F90D63"/>
    <w:rPr>
      <w:b/>
      <w:i/>
      <w:u w:val="none"/>
    </w:rPr>
  </w:style>
  <w:style w:type="paragraph" w:styleId="BalloonText">
    <w:name w:val="Balloon Text"/>
    <w:basedOn w:val="Normal"/>
    <w:link w:val="BalloonTextChar"/>
    <w:rsid w:val="00F90D63"/>
    <w:rPr>
      <w:rFonts w:ascii="Tahoma" w:hAnsi="Tahoma" w:cs="Tahoma"/>
      <w:sz w:val="16"/>
      <w:szCs w:val="16"/>
    </w:rPr>
  </w:style>
  <w:style w:type="character" w:customStyle="1" w:styleId="BalloonTextChar">
    <w:name w:val="Balloon Text Char"/>
    <w:basedOn w:val="DefaultParagraphFont"/>
    <w:link w:val="BalloonText"/>
    <w:rsid w:val="00F90D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D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D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D63"/>
    <w:rPr>
      <w:b/>
      <w:color w:val="660033"/>
      <w:spacing w:val="0"/>
    </w:rPr>
  </w:style>
  <w:style w:type="paragraph" w:customStyle="1" w:styleId="Nameditemlist">
    <w:name w:val="Named item list"/>
    <w:basedOn w:val="BodyText"/>
    <w:qFormat/>
    <w:rsid w:val="00F90D63"/>
    <w:pPr>
      <w:tabs>
        <w:tab w:val="left" w:pos="2835"/>
      </w:tabs>
      <w:ind w:left="2835" w:hanging="2835"/>
    </w:pPr>
  </w:style>
  <w:style w:type="paragraph" w:customStyle="1" w:styleId="BodyTextnopadding">
    <w:name w:val="Body Text no padding"/>
    <w:basedOn w:val="BodyText"/>
    <w:qFormat/>
    <w:rsid w:val="00F90D63"/>
    <w:pPr>
      <w:spacing w:before="0" w:after="0"/>
    </w:pPr>
  </w:style>
  <w:style w:type="paragraph" w:customStyle="1" w:styleId="BodyTextBold">
    <w:name w:val="Body Text Bold"/>
    <w:basedOn w:val="BodyText"/>
    <w:qFormat/>
    <w:rsid w:val="00F90D63"/>
    <w:rPr>
      <w:b/>
    </w:rPr>
  </w:style>
  <w:style w:type="character" w:styleId="Hyperlink">
    <w:name w:val="Hyperlink"/>
    <w:basedOn w:val="DefaultParagraphFont"/>
    <w:uiPriority w:val="99"/>
    <w:unhideWhenUsed/>
    <w:rsid w:val="001776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4363</Characters>
  <Application>Microsoft Office Word</Application>
  <DocSecurity>0</DocSecurity>
  <Lines>132</Lines>
  <Paragraphs>73</Paragraphs>
  <ScaleCrop>false</ScaleCrop>
  <Company>Author-it Software Corporation Ltd.</Company>
  <LinksUpToDate>false</LinksUpToDate>
  <CharactersWithSpaces>4952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HLTAHCS015 Facilitate access to tertiary health services</dc:title>
  <dc:subject>Approved</dc:subject>
  <dc:creator>SkillsIQ</dc:creator>
  <cp:keywords>Release: 1</cp:keywords>
  <dc:description>Review Date: 12 April 2008</dc:description>
  <cp:lastModifiedBy>HSD_TPCMSd.prod</cp:lastModifiedBy>
  <cp:revision>3</cp:revision>
  <dcterms:created xsi:type="dcterms:W3CDTF">2023-07-02T02:35:00Z</dcterms:created>
  <dcterms:modified xsi:type="dcterms:W3CDTF">2023-07-02T02:35:00Z</dcterms:modified>
</cp:coreProperties>
</file>