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564" w:rsidP="001835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HLTAHCS015 Facilitate access to tertiary health services</w:t>
      </w:r>
      <w:r>
        <w:fldChar w:fldCharType="end"/>
      </w:r>
    </w:p>
    <w:p w:rsidR="00183564" w:rsidP="00183564">
      <w:pPr>
        <w:pStyle w:val="Version"/>
        <w:sectPr w:rsidSect="004224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480" w:rsidP="00422480">
      <w:pPr>
        <w:pStyle w:val="SuperHeading"/>
      </w:pPr>
      <w:r w:rsidRPr="00422480">
        <w:t>Assessment Requirements for HLTAHCS015 Facilitate access to tertiary health services</w:t>
      </w:r>
    </w:p>
    <w:p w:rsidR="00000000" w:rsidRPr="00422480" w:rsidP="00422480">
      <w:pPr>
        <w:pStyle w:val="Heading1"/>
      </w:pPr>
      <w:bookmarkStart w:id="1" w:name="O_1278467"/>
      <w:bookmarkEnd w:id="1"/>
      <w:r w:rsidRPr="00422480">
        <w:t>Modification History</w:t>
      </w:r>
    </w:p>
    <w:p w:rsidR="00000000" w:rsidRPr="00422480" w:rsidP="00183564">
      <w:pPr>
        <w:pStyle w:val="BodyText"/>
      </w:pPr>
      <w:r w:rsidRPr="00422480">
        <w:t>Not applicable.</w:t>
      </w:r>
    </w:p>
    <w:p w:rsidR="00000000" w:rsidRPr="00422480" w:rsidP="00422480">
      <w:pPr>
        <w:pStyle w:val="Heading1"/>
      </w:pPr>
      <w:bookmarkStart w:id="2" w:name="O_1278468"/>
      <w:bookmarkEnd w:id="2"/>
      <w:r w:rsidRPr="00422480">
        <w:t>Performance Evidence</w:t>
      </w:r>
    </w:p>
    <w:p w:rsidR="00000000" w:rsidRPr="00422480" w:rsidP="00183564">
      <w:pPr>
        <w:pStyle w:val="BodyText"/>
      </w:pPr>
      <w:r w:rsidRPr="00422480">
        <w:t>Evidence of the ability t</w:t>
      </w:r>
      <w:r w:rsidRPr="00422480">
        <w:t>o complete tasks outlined in elements and performance criteria of this unit in the context of the job role, and:</w:t>
      </w:r>
    </w:p>
    <w:p w:rsidR="00000000" w:rsidRPr="00422480" w:rsidP="00422480">
      <w:pPr>
        <w:pStyle w:val="ListBullet"/>
      </w:pPr>
      <w:r w:rsidRPr="00422480">
        <w:t>facilitate access to tertiary health services for three different Aboriginal and/or Torres Strait Islander clients across the lifespan and wit</w:t>
      </w:r>
      <w:r w:rsidRPr="00422480">
        <w:t>h different needs</w:t>
      </w:r>
    </w:p>
    <w:p w:rsidR="00000000" w:rsidRPr="00422480" w:rsidP="00422480">
      <w:pPr>
        <w:pStyle w:val="ListBullet"/>
      </w:pPr>
      <w:r w:rsidRPr="00422480">
        <w:t>for each client, and according to their individual needs:</w:t>
      </w:r>
    </w:p>
    <w:p w:rsidR="00000000" w:rsidRPr="00422480" w:rsidP="00422480">
      <w:pPr>
        <w:pStyle w:val="ListBullet2"/>
      </w:pPr>
      <w:r w:rsidRPr="00422480">
        <w:t>identify and use appropriate protocols and lines of communication to exchange information</w:t>
      </w:r>
    </w:p>
    <w:p w:rsidR="00000000" w:rsidRPr="00422480" w:rsidP="00422480">
      <w:pPr>
        <w:pStyle w:val="ListBullet2"/>
      </w:pPr>
      <w:r w:rsidRPr="00422480">
        <w:t>gather information about tertiary health services and extract key information relevant to</w:t>
      </w:r>
      <w:r w:rsidRPr="00422480">
        <w:t xml:space="preserve"> client needs</w:t>
      </w:r>
    </w:p>
    <w:p w:rsidR="00000000" w:rsidRPr="00422480" w:rsidP="00422480">
      <w:pPr>
        <w:pStyle w:val="ListBullet2"/>
      </w:pPr>
      <w:r w:rsidRPr="00422480">
        <w:t>provide accurate and relevant information to support each client’s understanding of services and processes</w:t>
      </w:r>
    </w:p>
    <w:p w:rsidR="00000000" w:rsidRPr="00422480" w:rsidP="00422480">
      <w:pPr>
        <w:pStyle w:val="ListBullet2"/>
      </w:pPr>
      <w:r w:rsidRPr="00422480">
        <w:t>provide information in both oral and written form about available services and processes</w:t>
      </w:r>
    </w:p>
    <w:p w:rsidR="00000000" w:rsidRPr="00422480" w:rsidP="00422480">
      <w:pPr>
        <w:pStyle w:val="ListBullet2"/>
      </w:pPr>
      <w:r w:rsidRPr="00422480">
        <w:t>assist each client to complete two different w</w:t>
      </w:r>
      <w:r w:rsidRPr="00422480">
        <w:t>ritten documents</w:t>
      </w:r>
    </w:p>
    <w:p w:rsidR="00000000" w:rsidRPr="00422480" w:rsidP="00422480">
      <w:pPr>
        <w:pStyle w:val="ListBullet2"/>
      </w:pPr>
      <w:r w:rsidRPr="00422480">
        <w:t>organise the following logistical support:</w:t>
      </w:r>
    </w:p>
    <w:p w:rsidR="00000000" w:rsidRPr="00422480" w:rsidP="00422480">
      <w:pPr>
        <w:pStyle w:val="ListBullet3"/>
      </w:pPr>
      <w:r w:rsidRPr="00422480">
        <w:t>travel</w:t>
      </w:r>
    </w:p>
    <w:p w:rsidR="00000000" w:rsidRPr="00422480" w:rsidP="00422480">
      <w:pPr>
        <w:pStyle w:val="ListBullet3"/>
      </w:pPr>
      <w:r w:rsidRPr="00422480">
        <w:t>accommodation</w:t>
      </w:r>
    </w:p>
    <w:p w:rsidR="00000000" w:rsidRPr="00422480" w:rsidP="00422480">
      <w:pPr>
        <w:pStyle w:val="ListBullet2"/>
      </w:pPr>
      <w:r w:rsidRPr="00422480">
        <w:t>provide information about the cost of services and any benefits that can be claimed</w:t>
      </w:r>
    </w:p>
    <w:p w:rsidR="00000000" w:rsidRPr="00422480" w:rsidP="00422480">
      <w:pPr>
        <w:pStyle w:val="ListBullet2"/>
      </w:pPr>
      <w:r w:rsidRPr="00422480">
        <w:t>participate in the discharge process.</w:t>
      </w:r>
    </w:p>
    <w:p w:rsidR="00000000" w:rsidRPr="00422480" w:rsidP="00422480">
      <w:pPr>
        <w:pStyle w:val="AllowPageBreak"/>
      </w:pPr>
    </w:p>
    <w:p w:rsidR="00000000" w:rsidRPr="00422480" w:rsidP="00422480">
      <w:pPr>
        <w:pStyle w:val="Heading1"/>
      </w:pPr>
      <w:bookmarkStart w:id="3" w:name="O_1278469"/>
      <w:bookmarkEnd w:id="3"/>
      <w:r w:rsidRPr="00422480">
        <w:t>Knowledge Evidence</w:t>
      </w:r>
    </w:p>
    <w:p w:rsidR="00000000" w:rsidRPr="00422480" w:rsidP="00183564">
      <w:pPr>
        <w:pStyle w:val="BodyText"/>
      </w:pPr>
      <w:r w:rsidRPr="00422480">
        <w:t>Demonstrated knowledge required to complete the tasks outlined in elements and performance criteria of this unit:</w:t>
      </w:r>
    </w:p>
    <w:p w:rsidR="00000000" w:rsidRPr="00422480" w:rsidP="00422480">
      <w:pPr>
        <w:pStyle w:val="ListBullet"/>
      </w:pPr>
      <w:r w:rsidRPr="00422480">
        <w:t>organisational procedures for organising practical arrangements on behalf of clients</w:t>
      </w:r>
    </w:p>
    <w:p w:rsidR="00000000" w:rsidRPr="00422480" w:rsidP="00422480">
      <w:pPr>
        <w:pStyle w:val="ListBullet"/>
      </w:pPr>
      <w:r w:rsidRPr="00422480">
        <w:t>basic structure and function of primary, secondary and tertiary services in the Australian health care system and the relationships between them</w:t>
      </w:r>
    </w:p>
    <w:p w:rsidR="00000000" w:rsidRPr="00422480" w:rsidP="00422480">
      <w:pPr>
        <w:pStyle w:val="ListBullet"/>
      </w:pPr>
      <w:r w:rsidRPr="00422480">
        <w:t>tertiary health services available to Aboriginal and/or Torres Strait Islander clients needing access to specia</w:t>
      </w:r>
      <w:r w:rsidRPr="00422480">
        <w:t>lised care, including Aboriginal Community Controlled Health Organisations (ACCHO)</w:t>
      </w:r>
    </w:p>
    <w:p w:rsidR="00000000" w:rsidRPr="00422480" w:rsidP="00422480">
      <w:pPr>
        <w:pStyle w:val="ListBullet"/>
      </w:pPr>
      <w:r w:rsidRPr="00422480">
        <w:t>major tertiary services in the relevant metropolitan or regional centre:</w:t>
      </w:r>
    </w:p>
    <w:p w:rsidR="00000000" w:rsidRPr="00422480" w:rsidP="00422480">
      <w:pPr>
        <w:pStyle w:val="ListBullet2"/>
      </w:pPr>
      <w:r w:rsidRPr="00422480">
        <w:t>locations</w:t>
      </w:r>
    </w:p>
    <w:p w:rsidR="00000000" w:rsidRPr="00422480" w:rsidP="00422480">
      <w:pPr>
        <w:pStyle w:val="ListBullet2"/>
      </w:pPr>
      <w:r w:rsidRPr="00422480">
        <w:t>functions</w:t>
      </w:r>
    </w:p>
    <w:p w:rsidR="00000000" w:rsidRPr="00422480" w:rsidP="00422480">
      <w:pPr>
        <w:pStyle w:val="ListBullet2"/>
      </w:pPr>
      <w:r w:rsidRPr="00422480">
        <w:t>services</w:t>
      </w:r>
    </w:p>
    <w:p w:rsidR="00000000" w:rsidRPr="00422480" w:rsidP="00422480">
      <w:pPr>
        <w:pStyle w:val="ListBullet2"/>
      </w:pPr>
      <w:r w:rsidRPr="00422480">
        <w:t>specialities</w:t>
      </w:r>
    </w:p>
    <w:p w:rsidR="00000000" w:rsidRPr="00422480" w:rsidP="00422480">
      <w:pPr>
        <w:pStyle w:val="ListBullet"/>
      </w:pPr>
      <w:r w:rsidRPr="00422480">
        <w:t>key tertiary service information to be gathered and inte</w:t>
      </w:r>
      <w:r w:rsidRPr="00422480">
        <w:t>rpreted:</w:t>
      </w:r>
    </w:p>
    <w:p w:rsidR="00000000" w:rsidRPr="00422480" w:rsidP="00422480">
      <w:pPr>
        <w:pStyle w:val="ListBullet2"/>
      </w:pPr>
      <w:r w:rsidRPr="00422480">
        <w:t>admissions procedures</w:t>
      </w:r>
    </w:p>
    <w:p w:rsidR="00000000" w:rsidRPr="00422480" w:rsidP="00422480">
      <w:pPr>
        <w:pStyle w:val="ListBullet2"/>
      </w:pPr>
      <w:r w:rsidRPr="00422480">
        <w:t>discharge procedures</w:t>
      </w:r>
    </w:p>
    <w:p w:rsidR="00000000" w:rsidRPr="00422480" w:rsidP="00422480">
      <w:pPr>
        <w:pStyle w:val="ListBullet2"/>
      </w:pPr>
      <w:r w:rsidRPr="00422480">
        <w:t>cost of services for Aboriginal and/or Torres Strait Islander people and any benefits that can be claimed</w:t>
      </w:r>
    </w:p>
    <w:p w:rsidR="00000000" w:rsidRPr="00422480" w:rsidP="00422480">
      <w:pPr>
        <w:pStyle w:val="ListBullet2"/>
      </w:pPr>
      <w:r w:rsidRPr="00422480">
        <w:t>in-house support services</w:t>
      </w:r>
    </w:p>
    <w:p w:rsidR="00000000" w:rsidRPr="00422480" w:rsidP="00422480">
      <w:pPr>
        <w:pStyle w:val="ListBullet2"/>
      </w:pPr>
      <w:r w:rsidRPr="00422480">
        <w:t>key individuals and positions</w:t>
      </w:r>
    </w:p>
    <w:p w:rsidR="00000000" w:rsidRPr="00422480" w:rsidP="00422480">
      <w:pPr>
        <w:pStyle w:val="ListBullet"/>
      </w:pPr>
      <w:r w:rsidRPr="00422480">
        <w:t>lines of communication and communication</w:t>
      </w:r>
      <w:r w:rsidRPr="00422480">
        <w:t xml:space="preserve"> protocols between organisations and individuals:</w:t>
      </w:r>
    </w:p>
    <w:p w:rsidR="00000000" w:rsidRPr="00422480" w:rsidP="00422480">
      <w:pPr>
        <w:pStyle w:val="ListBullet2"/>
      </w:pPr>
      <w:r w:rsidRPr="00422480">
        <w:t>who can speak to who and about what</w:t>
      </w:r>
    </w:p>
    <w:p w:rsidR="00000000" w:rsidRPr="00422480" w:rsidP="00422480">
      <w:pPr>
        <w:pStyle w:val="ListBullet2"/>
      </w:pPr>
      <w:r w:rsidRPr="00422480">
        <w:t>referral process</w:t>
      </w:r>
    </w:p>
    <w:p w:rsidR="00000000" w:rsidRPr="00422480" w:rsidP="00422480">
      <w:pPr>
        <w:pStyle w:val="ListBullet2"/>
      </w:pPr>
      <w:r w:rsidRPr="00422480">
        <w:t>confidentiality requirements</w:t>
      </w:r>
    </w:p>
    <w:p w:rsidR="00000000" w:rsidRPr="00422480" w:rsidP="00422480">
      <w:pPr>
        <w:pStyle w:val="ListBullet"/>
      </w:pPr>
      <w:r w:rsidRPr="00422480">
        <w:t>types of processes and documentation required to access tertiary services</w:t>
      </w:r>
    </w:p>
    <w:p w:rsidR="00000000" w:rsidRPr="00422480" w:rsidP="00422480">
      <w:pPr>
        <w:pStyle w:val="ListBullet"/>
      </w:pPr>
      <w:r w:rsidRPr="00422480">
        <w:t>types of practical arrangements needed to assist clients to access services and how to organise these:</w:t>
      </w:r>
    </w:p>
    <w:p w:rsidR="00000000" w:rsidRPr="00422480" w:rsidP="00422480">
      <w:pPr>
        <w:pStyle w:val="ListBullet2"/>
      </w:pPr>
      <w:r w:rsidRPr="00422480">
        <w:t>accommodation</w:t>
      </w:r>
    </w:p>
    <w:p w:rsidR="00000000" w:rsidRPr="00422480" w:rsidP="00422480">
      <w:pPr>
        <w:pStyle w:val="ListBullet2"/>
      </w:pPr>
      <w:r w:rsidRPr="00422480">
        <w:t>transport</w:t>
      </w:r>
    </w:p>
    <w:p w:rsidR="00000000" w:rsidRPr="00422480" w:rsidP="00422480">
      <w:pPr>
        <w:pStyle w:val="ListBullet2"/>
      </w:pPr>
      <w:r w:rsidRPr="00422480">
        <w:t>carer services for children and older people</w:t>
      </w:r>
    </w:p>
    <w:p w:rsidR="00000000" w:rsidRPr="00422480" w:rsidP="00422480">
      <w:pPr>
        <w:pStyle w:val="ListBullet"/>
      </w:pPr>
      <w:r w:rsidRPr="00422480">
        <w:t xml:space="preserve">other ways in which the Aboriginal and/or Torres Strait Islander health worker or </w:t>
      </w:r>
      <w:r w:rsidRPr="00422480">
        <w:t>practitioner can support clients when accessing tertiary health services:</w:t>
      </w:r>
    </w:p>
    <w:p w:rsidR="00000000" w:rsidRPr="00422480" w:rsidP="00422480">
      <w:pPr>
        <w:pStyle w:val="ListBullet2"/>
      </w:pPr>
      <w:r w:rsidRPr="00422480">
        <w:t>reviewing information and extracting key points relevant to clients</w:t>
      </w:r>
    </w:p>
    <w:p w:rsidR="00000000" w:rsidRPr="00422480" w:rsidP="00422480">
      <w:pPr>
        <w:pStyle w:val="ListBullet2"/>
      </w:pPr>
      <w:r w:rsidRPr="00422480">
        <w:t>providing clear explanations about processes and services</w:t>
      </w:r>
    </w:p>
    <w:p w:rsidR="00000000" w:rsidRPr="00422480" w:rsidP="00422480">
      <w:pPr>
        <w:pStyle w:val="ListBullet2"/>
      </w:pPr>
      <w:r w:rsidRPr="00422480">
        <w:t>articulating client preferences and perspectives to ser</w:t>
      </w:r>
      <w:r w:rsidRPr="00422480">
        <w:t>vice providers</w:t>
      </w:r>
    </w:p>
    <w:p w:rsidR="00000000" w:rsidRPr="00422480" w:rsidP="00422480">
      <w:pPr>
        <w:pStyle w:val="ListBullet2"/>
      </w:pPr>
      <w:r w:rsidRPr="00422480">
        <w:t>identifying advance care directive (ACD) and ensuring the ACD is communicated through transitions of care</w:t>
      </w:r>
    </w:p>
    <w:p w:rsidR="00000000" w:rsidRPr="00422480" w:rsidP="00422480">
      <w:pPr>
        <w:pStyle w:val="ListBullet"/>
      </w:pPr>
      <w:r w:rsidRPr="00422480">
        <w:t>discharge from tertiary services:</w:t>
      </w:r>
    </w:p>
    <w:p w:rsidR="00000000" w:rsidRPr="00422480" w:rsidP="00422480">
      <w:pPr>
        <w:pStyle w:val="ListBullet2"/>
      </w:pPr>
      <w:r w:rsidRPr="00422480">
        <w:t>individuals involved</w:t>
      </w:r>
    </w:p>
    <w:p w:rsidR="00000000" w:rsidRPr="00422480" w:rsidP="00422480">
      <w:pPr>
        <w:pStyle w:val="ListBullet2"/>
      </w:pPr>
      <w:r w:rsidRPr="00422480">
        <w:t>key considerations for discharge planning:</w:t>
      </w:r>
    </w:p>
    <w:p w:rsidR="00000000" w:rsidRPr="00422480" w:rsidP="00422480">
      <w:pPr>
        <w:pStyle w:val="ListBullet3"/>
      </w:pPr>
      <w:r w:rsidRPr="00422480">
        <w:t>timing</w:t>
      </w:r>
    </w:p>
    <w:p w:rsidR="00000000" w:rsidRPr="00422480" w:rsidP="00422480">
      <w:pPr>
        <w:pStyle w:val="ListBullet3"/>
      </w:pPr>
      <w:r w:rsidRPr="00422480">
        <w:t>transport</w:t>
      </w:r>
    </w:p>
    <w:p w:rsidR="00000000" w:rsidRPr="00422480" w:rsidP="00422480">
      <w:pPr>
        <w:pStyle w:val="ListBullet3"/>
      </w:pPr>
      <w:r w:rsidRPr="00422480">
        <w:t>medications</w:t>
      </w:r>
    </w:p>
    <w:p w:rsidR="00000000" w:rsidRPr="00422480" w:rsidP="00422480">
      <w:pPr>
        <w:pStyle w:val="ListBullet3"/>
      </w:pPr>
      <w:r w:rsidRPr="00422480">
        <w:t>organisation of post hospitalisation health care plan and treatments</w:t>
      </w:r>
    </w:p>
    <w:p w:rsidR="00000000" w:rsidRPr="00422480" w:rsidP="00422480">
      <w:pPr>
        <w:pStyle w:val="ListBullet3"/>
      </w:pPr>
      <w:r w:rsidRPr="00422480">
        <w:t>organisation of support services at home.</w:t>
      </w:r>
    </w:p>
    <w:p w:rsidR="00000000" w:rsidRPr="00422480" w:rsidP="00422480">
      <w:pPr>
        <w:pStyle w:val="AllowPageBreak"/>
      </w:pPr>
    </w:p>
    <w:p w:rsidR="00000000" w:rsidRPr="00422480" w:rsidP="00422480">
      <w:pPr>
        <w:pStyle w:val="Heading1"/>
      </w:pPr>
      <w:bookmarkStart w:id="4" w:name="O_1278470"/>
      <w:bookmarkEnd w:id="4"/>
      <w:r w:rsidRPr="00422480">
        <w:t>Assessment Conditions</w:t>
      </w:r>
    </w:p>
    <w:p w:rsidR="00000000" w:rsidRPr="00422480" w:rsidP="00183564">
      <w:pPr>
        <w:pStyle w:val="BodyText"/>
      </w:pPr>
      <w:r w:rsidRPr="00422480">
        <w:t>Skills must be demonstrated in a health service workplace within a multidisciplinary primary health care</w:t>
      </w:r>
      <w:r w:rsidRPr="00422480">
        <w:t xml:space="preserve"> team.</w:t>
      </w:r>
    </w:p>
    <w:p w:rsidR="00000000" w:rsidRPr="00422480" w:rsidP="00183564">
      <w:pPr>
        <w:pStyle w:val="BodyText"/>
      </w:pPr>
      <w:r w:rsidRPr="00422480">
        <w:t>Evidence of performance must be gathered:</w:t>
      </w:r>
    </w:p>
    <w:p w:rsidR="00000000" w:rsidRPr="00422480" w:rsidP="00422480">
      <w:pPr>
        <w:pStyle w:val="ListBullet"/>
      </w:pPr>
      <w:r w:rsidRPr="00422480">
        <w:t>during on-the-job assessments in the workplace under live conditions while interacting with Aboriginal and/or Torres Strait Islander people, or</w:t>
      </w:r>
    </w:p>
    <w:p w:rsidR="00000000" w:rsidRPr="00422480" w:rsidP="00422480">
      <w:pPr>
        <w:pStyle w:val="ListBullet"/>
      </w:pPr>
      <w:r w:rsidRPr="00422480">
        <w:t>during off-the-job assessments in the workplace, not under live conditions, using simulated activities while interacting with Aboriginal and/or Torres Strait Islander people.</w:t>
      </w:r>
    </w:p>
    <w:p w:rsidR="00000000" w:rsidRPr="00422480" w:rsidP="00183564">
      <w:pPr>
        <w:pStyle w:val="BodyText"/>
      </w:pPr>
      <w:r w:rsidRPr="00422480">
        <w:t>Evidence of workplace performance can be gathered and reported through third part</w:t>
      </w:r>
      <w:r w:rsidRPr="00422480">
        <w:t>y report processes. (Refer to the Companion Volume Implementation Guide for information on third party reporting.)</w:t>
      </w:r>
    </w:p>
    <w:p w:rsidR="00000000" w:rsidRPr="00422480" w:rsidP="00183564">
      <w:pPr>
        <w:pStyle w:val="BodyText"/>
      </w:pPr>
      <w:r w:rsidRPr="00422480">
        <w:t>Evidence can be supplemented by assessments in a simulated workplace environment using simulated activities, scenarios or case studies only w</w:t>
      </w:r>
      <w:r w:rsidRPr="00422480">
        <w:t>hen:</w:t>
      </w:r>
    </w:p>
    <w:p w:rsidR="00000000" w:rsidRPr="00422480" w:rsidP="00422480">
      <w:pPr>
        <w:pStyle w:val="ListBullet"/>
      </w:pPr>
      <w:r w:rsidRPr="00422480">
        <w:t>the full range of situations covered by the unit cannot be provided in the individual’s workplace, or</w:t>
      </w:r>
    </w:p>
    <w:p w:rsidR="00000000" w:rsidRPr="00422480" w:rsidP="00422480">
      <w:pPr>
        <w:pStyle w:val="ListBullet"/>
      </w:pPr>
      <w:r w:rsidRPr="00422480">
        <w:t>situations covered by the unit occur only rarely in the individual’s workplace.</w:t>
      </w:r>
    </w:p>
    <w:p w:rsidR="00000000" w:rsidRPr="00422480" w:rsidP="00183564">
      <w:pPr>
        <w:pStyle w:val="BodyText"/>
      </w:pPr>
      <w:r w:rsidRPr="00422480">
        <w:t>Assessment must ensure the use of:</w:t>
      </w:r>
    </w:p>
    <w:p w:rsidR="00000000" w:rsidRPr="00422480" w:rsidP="00422480">
      <w:pPr>
        <w:pStyle w:val="ListBullet"/>
      </w:pPr>
      <w:r w:rsidRPr="00422480">
        <w:t>client records</w:t>
      </w:r>
    </w:p>
    <w:p w:rsidR="00000000" w:rsidRPr="00422480" w:rsidP="00422480">
      <w:pPr>
        <w:pStyle w:val="ListBullet"/>
      </w:pPr>
      <w:r w:rsidRPr="00422480">
        <w:t>information about</w:t>
      </w:r>
      <w:r w:rsidRPr="00422480">
        <w:t xml:space="preserve"> tertiary health services and processes</w:t>
      </w:r>
    </w:p>
    <w:p w:rsidR="00000000" w:rsidRPr="00422480" w:rsidP="00422480">
      <w:pPr>
        <w:pStyle w:val="ListBullet"/>
      </w:pPr>
      <w:r w:rsidRPr="00422480">
        <w:t>documentation that supports admission and discharge processes</w:t>
      </w:r>
    </w:p>
    <w:p w:rsidR="00000000" w:rsidRPr="00422480" w:rsidP="00422480">
      <w:pPr>
        <w:pStyle w:val="ListBullet"/>
      </w:pPr>
      <w:r w:rsidRPr="00422480">
        <w:t>organisational procedures for organising practical arrangements on behalf of clients.</w:t>
      </w:r>
    </w:p>
    <w:p w:rsidR="00000000" w:rsidRPr="00422480" w:rsidP="00183564">
      <w:pPr>
        <w:pStyle w:val="BodyText"/>
      </w:pPr>
      <w:r w:rsidRPr="00422480">
        <w:t>Assessors must satisfy the Standards for Registered Training Organis</w:t>
      </w:r>
      <w:r w:rsidRPr="00422480">
        <w:t>ations requirements for assessors, and:</w:t>
      </w:r>
    </w:p>
    <w:p w:rsidR="00000000" w:rsidRPr="00422480" w:rsidP="00422480">
      <w:pPr>
        <w:pStyle w:val="ListBullet"/>
      </w:pPr>
      <w:r w:rsidRPr="00422480">
        <w:t>be an Aboriginal and/or Torres Strait Islander person who has applied the skills and knowledge covered in this unit of competency through experience working as an Aboriginal and/or Torres Strait Islander health work</w:t>
      </w:r>
      <w:r w:rsidRPr="00422480">
        <w:t>er or practitioner, or</w:t>
      </w:r>
    </w:p>
    <w:p w:rsidR="00000000" w:rsidRPr="00422480" w:rsidP="00422480">
      <w:pPr>
        <w:pStyle w:val="ListBullet"/>
      </w:pPr>
      <w:r w:rsidRPr="00422480">
        <w:t>be a registered health practitioner or a community services worker with experience relevant to this unit of competency and be accompanied by, or have assessments validated by, an Aboriginal and/or Torres Strait Islander person.</w:t>
      </w:r>
    </w:p>
    <w:p w:rsidR="00000000" w:rsidRPr="00422480" w:rsidP="00422480">
      <w:pPr>
        <w:pStyle w:val="AllowPageBreak"/>
      </w:pPr>
    </w:p>
    <w:p w:rsidR="00000000" w:rsidRPr="00422480" w:rsidP="00422480">
      <w:pPr>
        <w:pStyle w:val="Heading1"/>
      </w:pPr>
      <w:bookmarkStart w:id="5" w:name="O_1278473"/>
      <w:bookmarkEnd w:id="5"/>
      <w:r w:rsidRPr="00422480">
        <w:t>Links</w:t>
      </w:r>
    </w:p>
    <w:p w:rsidR="00000000" w:rsidRPr="00422480" w:rsidP="00183564">
      <w:pPr>
        <w:pStyle w:val="BodyText"/>
      </w:pPr>
      <w:r w:rsidRPr="004224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F268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22480" w:rsidP="00422480"/>
    <w:sectPr w:rsidSect="004224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80" w:rsidRPr="00183564" w:rsidP="001835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564" w:rsidP="004224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564" w:rsidP="004224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3564" w:rsidP="004224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5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480" w:rsidRPr="00183564" w:rsidP="001835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564" w:rsidRPr="002D2AF8" w:rsidP="004224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HLTAHCS015 Facilitate access to tertiary health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83564" w:rsidP="004224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580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FEC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887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4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4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4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4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4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4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4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4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4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4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4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480"/>
  </w:style>
  <w:style w:type="character" w:customStyle="1" w:styleId="Heading1Char">
    <w:name w:val="Heading 1 Char"/>
    <w:basedOn w:val="DefaultParagraphFont"/>
    <w:link w:val="Heading1"/>
    <w:rsid w:val="004224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4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4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48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24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24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4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248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24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4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4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4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4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4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4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4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4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4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4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4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4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4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4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4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2480"/>
    <w:rPr>
      <w:b/>
      <w:spacing w:val="0"/>
    </w:rPr>
  </w:style>
  <w:style w:type="paragraph" w:customStyle="1" w:styleId="SuperTitle">
    <w:name w:val="SuperTitle"/>
    <w:basedOn w:val="Title"/>
    <w:rsid w:val="004224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4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4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24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4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4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4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4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4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4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4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4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480"/>
    <w:rPr>
      <w:i/>
    </w:rPr>
  </w:style>
  <w:style w:type="paragraph" w:styleId="Caption">
    <w:name w:val="caption"/>
    <w:basedOn w:val="BodyText"/>
    <w:next w:val="Normal"/>
    <w:qFormat/>
    <w:rsid w:val="004224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4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4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480"/>
  </w:style>
  <w:style w:type="paragraph" w:styleId="TableofFigures">
    <w:name w:val="table of figures"/>
    <w:basedOn w:val="Normal"/>
    <w:next w:val="Normal"/>
    <w:semiHidden/>
    <w:rsid w:val="004224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48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2480"/>
    <w:rPr>
      <w:rFonts w:ascii="Wingdings" w:hAnsi="Wingdings"/>
    </w:rPr>
  </w:style>
  <w:style w:type="paragraph" w:customStyle="1" w:styleId="TableHeading">
    <w:name w:val="Table Heading"/>
    <w:basedOn w:val="HeadingBase"/>
    <w:rsid w:val="004224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480"/>
    <w:rPr>
      <w:color w:val="0033CC"/>
      <w:u w:val="none"/>
    </w:rPr>
  </w:style>
  <w:style w:type="paragraph" w:customStyle="1" w:styleId="BodyTextRight">
    <w:name w:val="Body Text Right"/>
    <w:basedOn w:val="BodyText"/>
    <w:rsid w:val="004224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4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48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4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4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4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480"/>
    <w:rPr>
      <w:sz w:val="32"/>
    </w:rPr>
  </w:style>
  <w:style w:type="paragraph" w:customStyle="1" w:styleId="HeadingProcedure">
    <w:name w:val="Heading Procedure"/>
    <w:basedOn w:val="HeadingBase"/>
    <w:next w:val="Normal"/>
    <w:rsid w:val="004224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480"/>
    <w:pPr>
      <w:spacing w:before="60" w:after="60"/>
    </w:pPr>
  </w:style>
  <w:style w:type="paragraph" w:styleId="ListContinue">
    <w:name w:val="List Continue"/>
    <w:basedOn w:val="List"/>
    <w:rsid w:val="00422480"/>
    <w:pPr>
      <w:ind w:firstLine="0"/>
    </w:pPr>
  </w:style>
  <w:style w:type="paragraph" w:customStyle="1" w:styleId="ListNote">
    <w:name w:val="List Note"/>
    <w:basedOn w:val="List"/>
    <w:rsid w:val="004224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4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4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480"/>
    <w:rPr>
      <w:rFonts w:ascii="Courier New" w:hAnsi="Courier New"/>
    </w:rPr>
  </w:style>
  <w:style w:type="paragraph" w:customStyle="1" w:styleId="NoteBullet">
    <w:name w:val="Note Bullet"/>
    <w:basedOn w:val="Note"/>
    <w:rsid w:val="004224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4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4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4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4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24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4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480"/>
    <w:rPr>
      <w:b/>
      <w:smallCaps/>
    </w:rPr>
  </w:style>
  <w:style w:type="paragraph" w:customStyle="1" w:styleId="TableListNumber">
    <w:name w:val="Table List Number"/>
    <w:basedOn w:val="ListNumber"/>
    <w:rsid w:val="004224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4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480"/>
    <w:pPr>
      <w:numPr>
        <w:numId w:val="10"/>
      </w:numPr>
    </w:pPr>
  </w:style>
  <w:style w:type="paragraph" w:customStyle="1" w:styleId="ListAlpha2">
    <w:name w:val="List Alpha 2"/>
    <w:basedOn w:val="List2"/>
    <w:rsid w:val="00422480"/>
    <w:pPr>
      <w:numPr>
        <w:numId w:val="9"/>
      </w:numPr>
    </w:pPr>
  </w:style>
  <w:style w:type="paragraph" w:styleId="List2">
    <w:name w:val="List 2"/>
    <w:basedOn w:val="BodyText"/>
    <w:rsid w:val="004224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4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4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48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248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2480"/>
    <w:pPr>
      <w:numPr>
        <w:numId w:val="5"/>
      </w:numPr>
    </w:pPr>
  </w:style>
  <w:style w:type="paragraph" w:styleId="ListContinue2">
    <w:name w:val="List Continue 2"/>
    <w:basedOn w:val="List2"/>
    <w:rsid w:val="00422480"/>
    <w:pPr>
      <w:ind w:firstLine="0"/>
    </w:pPr>
  </w:style>
  <w:style w:type="paragraph" w:styleId="ListContinue3">
    <w:name w:val="List Continue 3"/>
    <w:basedOn w:val="List3"/>
    <w:rsid w:val="00422480"/>
    <w:pPr>
      <w:ind w:left="1021" w:firstLine="0"/>
    </w:pPr>
  </w:style>
  <w:style w:type="paragraph" w:styleId="ListContinue4">
    <w:name w:val="List Continue 4"/>
    <w:basedOn w:val="List4"/>
    <w:rsid w:val="00422480"/>
    <w:pPr>
      <w:ind w:firstLine="0"/>
    </w:pPr>
  </w:style>
  <w:style w:type="paragraph" w:styleId="ListContinue5">
    <w:name w:val="List Continue 5"/>
    <w:basedOn w:val="List5"/>
    <w:rsid w:val="00422480"/>
    <w:pPr>
      <w:ind w:firstLine="0"/>
    </w:pPr>
  </w:style>
  <w:style w:type="paragraph" w:styleId="ListNumber3">
    <w:name w:val="List Number 3"/>
    <w:basedOn w:val="List3"/>
    <w:rsid w:val="00422480"/>
    <w:pPr>
      <w:numPr>
        <w:numId w:val="6"/>
      </w:numPr>
    </w:pPr>
  </w:style>
  <w:style w:type="paragraph" w:styleId="ListNumber4">
    <w:name w:val="List Number 4"/>
    <w:basedOn w:val="List4"/>
    <w:rsid w:val="00422480"/>
    <w:pPr>
      <w:numPr>
        <w:numId w:val="7"/>
      </w:numPr>
    </w:pPr>
  </w:style>
  <w:style w:type="paragraph" w:styleId="ListNumber5">
    <w:name w:val="List Number 5"/>
    <w:basedOn w:val="List5"/>
    <w:rsid w:val="00422480"/>
    <w:pPr>
      <w:numPr>
        <w:numId w:val="8"/>
      </w:numPr>
    </w:pPr>
  </w:style>
  <w:style w:type="paragraph" w:styleId="BlockText">
    <w:name w:val="Block Text"/>
    <w:basedOn w:val="Normal"/>
    <w:rsid w:val="004224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4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480"/>
    <w:rPr>
      <w:sz w:val="16"/>
      <w:vertAlign w:val="superscript"/>
    </w:rPr>
  </w:style>
  <w:style w:type="character" w:customStyle="1" w:styleId="Symbols">
    <w:name w:val="Symbols"/>
    <w:basedOn w:val="DefaultParagraphFont"/>
    <w:rsid w:val="00422480"/>
    <w:rPr>
      <w:rFonts w:ascii="Symbol" w:hAnsi="Symbol"/>
    </w:rPr>
  </w:style>
  <w:style w:type="character" w:customStyle="1" w:styleId="MenuOptions">
    <w:name w:val="Menu Options"/>
    <w:basedOn w:val="DefaultParagraphFont"/>
    <w:rsid w:val="004224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480"/>
    <w:rPr>
      <w:b/>
    </w:rPr>
  </w:style>
  <w:style w:type="character" w:customStyle="1" w:styleId="Underlined">
    <w:name w:val="Underlined"/>
    <w:basedOn w:val="DefaultParagraphFont"/>
    <w:rsid w:val="00422480"/>
    <w:rPr>
      <w:u w:val="single"/>
    </w:rPr>
  </w:style>
  <w:style w:type="paragraph" w:customStyle="1" w:styleId="TableBodyTextRight">
    <w:name w:val="Table Body Text Right"/>
    <w:basedOn w:val="TableBodyText"/>
    <w:rsid w:val="004224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480"/>
    <w:rPr>
      <w:sz w:val="18"/>
    </w:rPr>
  </w:style>
  <w:style w:type="paragraph" w:customStyle="1" w:styleId="BodySmallRight">
    <w:name w:val="Body Small Right"/>
    <w:basedOn w:val="BodyTextRight"/>
    <w:rsid w:val="00422480"/>
    <w:rPr>
      <w:sz w:val="18"/>
      <w:szCs w:val="18"/>
    </w:rPr>
  </w:style>
  <w:style w:type="paragraph" w:customStyle="1" w:styleId="MarginEdition">
    <w:name w:val="Margin Edition"/>
    <w:basedOn w:val="MarginNote"/>
    <w:rsid w:val="004224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480"/>
    <w:rPr>
      <w:sz w:val="2"/>
      <w:szCs w:val="2"/>
    </w:rPr>
  </w:style>
  <w:style w:type="character" w:customStyle="1" w:styleId="Small">
    <w:name w:val="Small"/>
    <w:basedOn w:val="DefaultParagraphFont"/>
    <w:rsid w:val="00422480"/>
    <w:rPr>
      <w:sz w:val="16"/>
    </w:rPr>
  </w:style>
  <w:style w:type="paragraph" w:customStyle="1" w:styleId="WideTable">
    <w:name w:val="Wide Table"/>
    <w:basedOn w:val="Normal"/>
    <w:rsid w:val="004224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480"/>
  </w:style>
  <w:style w:type="paragraph" w:styleId="Quote">
    <w:name w:val="Quote"/>
    <w:basedOn w:val="Heading1"/>
    <w:link w:val="QuoteChar"/>
    <w:qFormat/>
    <w:rsid w:val="004224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4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480"/>
    <w:pPr>
      <w:pageBreakBefore/>
    </w:pPr>
  </w:style>
  <w:style w:type="paragraph" w:customStyle="1" w:styleId="Border">
    <w:name w:val="Border"/>
    <w:basedOn w:val="Normal"/>
    <w:qFormat/>
    <w:rsid w:val="004224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4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4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4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4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4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4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4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4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480"/>
    <w:rPr>
      <w:u w:val="single"/>
    </w:rPr>
  </w:style>
  <w:style w:type="character" w:customStyle="1" w:styleId="BoldandItalics">
    <w:name w:val="Bold and Italics"/>
    <w:qFormat/>
    <w:rsid w:val="00422480"/>
    <w:rPr>
      <w:b/>
      <w:i/>
      <w:u w:val="none"/>
    </w:rPr>
  </w:style>
  <w:style w:type="paragraph" w:styleId="BalloonText">
    <w:name w:val="Balloon Text"/>
    <w:basedOn w:val="Normal"/>
    <w:link w:val="BalloonTextChar"/>
    <w:rsid w:val="00422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4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4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4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4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4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480"/>
    <w:pPr>
      <w:spacing w:before="0" w:after="0"/>
    </w:pPr>
  </w:style>
  <w:style w:type="paragraph" w:customStyle="1" w:styleId="BodyTextBold">
    <w:name w:val="Body Text Bold"/>
    <w:basedOn w:val="BodyText"/>
    <w:qFormat/>
    <w:rsid w:val="00422480"/>
    <w:rPr>
      <w:b/>
    </w:rPr>
  </w:style>
  <w:style w:type="character" w:styleId="Hyperlink">
    <w:name w:val="Hyperlink"/>
    <w:basedOn w:val="DefaultParagraphFont"/>
    <w:uiPriority w:val="99"/>
    <w:unhideWhenUsed/>
    <w:rsid w:val="001835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4739</Characters>
  <Application>Microsoft Office Word</Application>
  <DocSecurity>0</DocSecurity>
  <Lines>115</Lines>
  <Paragraphs>88</Paragraphs>
  <ScaleCrop>false</ScaleCrop>
  <Company>Author-it Software Corporation Ltd.</Company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HLTAHCS015 Facilitate access to tertiary health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2023-07-02T01:36:00Z</dcterms:created>
  <dcterms:modified xsi:type="dcterms:W3CDTF">2023-07-02T01:36:00Z</dcterms:modified>
</cp:coreProperties>
</file>