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A6683" w:rsidP="007A668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HLTAHCS014 Provide ear health care</w:t>
      </w:r>
      <w:r>
        <w:fldChar w:fldCharType="end"/>
      </w:r>
    </w:p>
    <w:p w:rsidR="007A6683" w:rsidP="007A6683">
      <w:pPr>
        <w:pStyle w:val="Version"/>
        <w:sectPr w:rsidSect="00352DE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52DE0" w:rsidP="00352DE0">
      <w:pPr>
        <w:pStyle w:val="SuperHeading"/>
      </w:pPr>
      <w:r w:rsidRPr="00352DE0">
        <w:t>HLTAHCS014 Provide ear health care</w:t>
      </w:r>
    </w:p>
    <w:p w:rsidR="00000000" w:rsidRPr="00352DE0" w:rsidP="00352DE0">
      <w:pPr>
        <w:pStyle w:val="Heading1"/>
      </w:pPr>
      <w:bookmarkStart w:id="1" w:name="O_1278438"/>
      <w:bookmarkEnd w:id="1"/>
      <w:r w:rsidRPr="00352DE0">
        <w:t>Modification History</w:t>
      </w:r>
    </w:p>
    <w:p w:rsidR="00000000" w:rsidRPr="00352DE0" w:rsidP="007A6683">
      <w:pPr>
        <w:pStyle w:val="BodyText"/>
      </w:pPr>
      <w:r w:rsidRPr="00352DE0">
        <w:t>Not applicable.</w:t>
      </w:r>
    </w:p>
    <w:p w:rsidR="00000000" w:rsidRPr="00352DE0" w:rsidP="00352DE0">
      <w:pPr>
        <w:pStyle w:val="Heading1"/>
      </w:pPr>
      <w:bookmarkStart w:id="2" w:name="O_1278439"/>
      <w:bookmarkEnd w:id="2"/>
      <w:r w:rsidRPr="00352DE0">
        <w:t>Application</w:t>
      </w:r>
    </w:p>
    <w:p w:rsidR="00000000" w:rsidRPr="00352DE0" w:rsidP="007A6683">
      <w:pPr>
        <w:pStyle w:val="BodyText"/>
      </w:pPr>
      <w:r w:rsidRPr="00352DE0">
        <w:t>This unit describes the performance outcomes, skills and knowledge required to complete ear health assessments, treat minor and emergency ear health issues and support clients with ongoing</w:t>
      </w:r>
      <w:r w:rsidRPr="00352DE0">
        <w:t xml:space="preserve"> conditions. It also covers skills to provide resources and information about ear health to clients.</w:t>
      </w:r>
    </w:p>
    <w:p w:rsidR="00000000" w:rsidRPr="00352DE0" w:rsidP="007A6683">
      <w:pPr>
        <w:pStyle w:val="BodyText"/>
      </w:pPr>
      <w:r w:rsidRPr="00352DE0">
        <w:t>The unit does not cover skills for completing hearing assessments.</w:t>
      </w:r>
    </w:p>
    <w:p w:rsidR="00000000" w:rsidRPr="00352DE0" w:rsidP="007A6683">
      <w:pPr>
        <w:pStyle w:val="BodyText"/>
      </w:pPr>
      <w:r w:rsidRPr="00352DE0">
        <w:t>This unit is specific to Aboriginal and/or Torres Strait Islander people working as heal</w:t>
      </w:r>
      <w:r w:rsidRPr="00352DE0">
        <w:t>th workers or health practitioners. They work as part of a multidisciplinary primary health care team to provide primary health care services to Aboriginal and/or Torres Strait Islander clients.</w:t>
      </w:r>
    </w:p>
    <w:p w:rsidR="00000000" w:rsidRPr="00352DE0" w:rsidP="007A6683">
      <w:pPr>
        <w:pStyle w:val="BodyText"/>
      </w:pPr>
      <w:r w:rsidRPr="00352DE0">
        <w:t>The skills in this unit must be applied in accordance with Co</w:t>
      </w:r>
      <w:r w:rsidRPr="00352DE0">
        <w:t>mmonwealth and State or Territory legislation, Australian standards and industry codes of practice.</w:t>
      </w:r>
    </w:p>
    <w:p w:rsidR="00000000" w:rsidRPr="00352DE0" w:rsidP="007A6683">
      <w:pPr>
        <w:pStyle w:val="BodyText"/>
      </w:pPr>
      <w:r w:rsidRPr="00352DE0">
        <w:t>No regulatory requirement for certification, occupational or business licensing is linked to this unit at the time of publication. For information about pra</w:t>
      </w:r>
      <w:r w:rsidRPr="00352DE0">
        <w:t>ctitioner registration and accredited courses of study, contact the Aboriginal and Torres Strait Islander Health Practice Board of Australia (ATSIHPBA).</w:t>
      </w:r>
    </w:p>
    <w:p w:rsidR="00000000" w:rsidRPr="00352DE0" w:rsidP="00352DE0">
      <w:pPr>
        <w:pStyle w:val="Heading1"/>
      </w:pPr>
      <w:bookmarkStart w:id="3" w:name="O_1278440"/>
      <w:bookmarkEnd w:id="3"/>
      <w:r w:rsidRPr="00352DE0">
        <w:t>Pre-requisite Unit</w:t>
      </w:r>
    </w:p>
    <w:p w:rsidR="00000000" w:rsidRPr="00352DE0" w:rsidP="007A6683">
      <w:pPr>
        <w:pStyle w:val="BodyText"/>
      </w:pPr>
      <w:r w:rsidRPr="00352DE0">
        <w:t>Nil</w:t>
      </w:r>
    </w:p>
    <w:p w:rsidR="00000000" w:rsidRPr="00352DE0" w:rsidP="00352DE0">
      <w:pPr>
        <w:pStyle w:val="Heading1"/>
      </w:pPr>
      <w:bookmarkStart w:id="4" w:name="O_1278441"/>
      <w:bookmarkEnd w:id="4"/>
      <w:r w:rsidRPr="00352DE0">
        <w:t>Competency Field</w:t>
      </w:r>
    </w:p>
    <w:p w:rsidR="00000000" w:rsidRPr="00352DE0" w:rsidP="007A6683">
      <w:pPr>
        <w:pStyle w:val="BodyText"/>
      </w:pPr>
      <w:r w:rsidRPr="00352DE0">
        <w:t>Health Care and Support</w:t>
      </w:r>
    </w:p>
    <w:p w:rsidR="00000000" w:rsidRPr="00352DE0" w:rsidP="00352DE0">
      <w:pPr>
        <w:pStyle w:val="Heading1"/>
      </w:pPr>
      <w:bookmarkStart w:id="5" w:name="O_1278442"/>
      <w:bookmarkEnd w:id="5"/>
      <w:r w:rsidRPr="00352DE0">
        <w:t>Unit Sector</w:t>
      </w:r>
    </w:p>
    <w:p w:rsidR="00000000" w:rsidRPr="00352DE0" w:rsidP="007A6683">
      <w:pPr>
        <w:pStyle w:val="BodyText"/>
      </w:pPr>
      <w:r w:rsidRPr="00352DE0">
        <w:t>Aboriginal and/or Torres Strait Islander Health</w:t>
      </w:r>
    </w:p>
    <w:p w:rsidR="00000000" w:rsidRPr="00352DE0" w:rsidP="00352DE0">
      <w:pPr>
        <w:pStyle w:val="Heading1"/>
      </w:pPr>
      <w:bookmarkStart w:id="6" w:name="O_1278443"/>
      <w:bookmarkEnd w:id="6"/>
      <w:r w:rsidRPr="00352DE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352D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DE0" w:rsidP="00352DE0">
            <w:pPr>
              <w:pStyle w:val="BodyText"/>
            </w:pPr>
            <w:r w:rsidRPr="00352DE0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DE0">
            <w:pPr>
              <w:pStyle w:val="BodyText"/>
              <w:rPr>
                <w:lang w:val="en-NZ"/>
              </w:rPr>
            </w:pPr>
            <w:r w:rsidRPr="00352DE0">
              <w:rPr>
                <w:rStyle w:val="SpecialBold"/>
              </w:rPr>
              <w:t>PERFORMANCE</w:t>
            </w:r>
            <w:r w:rsidRPr="00352DE0">
              <w:t xml:space="preserve"> </w:t>
            </w:r>
            <w:r w:rsidRPr="00352DE0">
              <w:rPr>
                <w:rStyle w:val="SpecialBold"/>
              </w:rPr>
              <w:t>CRITERIA</w:t>
            </w:r>
          </w:p>
        </w:tc>
      </w:tr>
      <w:tr w:rsidTr="00352D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DE0" w:rsidP="00352DE0">
            <w:pPr>
              <w:pStyle w:val="BodyText"/>
            </w:pPr>
            <w:r w:rsidRPr="00352DE0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DE0">
            <w:pPr>
              <w:pStyle w:val="BodyText"/>
              <w:rPr>
                <w:lang w:val="en-NZ"/>
              </w:rPr>
            </w:pPr>
            <w:r w:rsidRPr="00352DE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52D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DE0">
            <w:pPr>
              <w:pStyle w:val="List"/>
              <w:rPr>
                <w:lang w:val="en-NZ"/>
              </w:rPr>
            </w:pPr>
            <w:r w:rsidRPr="00352DE0">
              <w:t>1.  Complete ear health assessments.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DE0" w:rsidP="00352DE0">
            <w:pPr>
              <w:pStyle w:val="List"/>
            </w:pPr>
            <w:r w:rsidRPr="00352DE0">
              <w:t>1.1. Use culturally safe and effective communication in all interactions to establish and maintain positive relationships.</w:t>
            </w:r>
          </w:p>
          <w:p w:rsidR="00000000" w:rsidRPr="00352DE0" w:rsidP="00352DE0">
            <w:pPr>
              <w:pStyle w:val="List"/>
            </w:pPr>
            <w:r w:rsidRPr="00352DE0">
              <w:t>1.2. Obtain client health history and review client records and health plans to establish individual ear care requirements.</w:t>
            </w:r>
          </w:p>
          <w:p w:rsidR="00000000" w:rsidRPr="00352DE0" w:rsidP="00352DE0">
            <w:pPr>
              <w:pStyle w:val="List"/>
            </w:pPr>
            <w:r w:rsidRPr="00352DE0">
              <w:t>1.3. Use client questioning and observations to identify signs of possible hearing deficit.</w:t>
            </w:r>
          </w:p>
          <w:p w:rsidR="00000000" w:rsidRPr="00352DE0" w:rsidP="00352DE0">
            <w:pPr>
              <w:pStyle w:val="List"/>
            </w:pPr>
            <w:r w:rsidRPr="00352DE0">
              <w:t>1.4. Follow procedures for infection co</w:t>
            </w:r>
            <w:r w:rsidRPr="00352DE0">
              <w:t>ntrol and correct and safe use of otoscope.</w:t>
            </w:r>
          </w:p>
          <w:p w:rsidR="00000000" w:rsidRPr="00352DE0" w:rsidP="00352DE0">
            <w:pPr>
              <w:pStyle w:val="List"/>
            </w:pPr>
            <w:r w:rsidRPr="00352DE0">
              <w:t>1.5. Complete routine ear examination according to scope of practice and organisational standard treatment protocols.</w:t>
            </w:r>
          </w:p>
          <w:p w:rsidR="00000000" w:rsidRPr="00352DE0" w:rsidP="00352DE0">
            <w:pPr>
              <w:pStyle w:val="List"/>
            </w:pPr>
            <w:r w:rsidRPr="00352DE0">
              <w:t>1.6. Recognise abnormalities in ear canal and eardrum from otoscopy.</w:t>
            </w:r>
          </w:p>
          <w:p w:rsidR="00000000" w:rsidRPr="00352DE0" w:rsidP="00352DE0">
            <w:pPr>
              <w:pStyle w:val="List"/>
            </w:pPr>
            <w:r w:rsidRPr="00352DE0">
              <w:t>1.7. Identify the need fo</w:t>
            </w:r>
            <w:r w:rsidRPr="00352DE0">
              <w:t>r prescription medication, further examination or hearing test and refer clients to medical practitioners or specialist services according to organisational procedures.</w:t>
            </w:r>
          </w:p>
          <w:p w:rsidR="00000000" w:rsidP="00352DE0">
            <w:pPr>
              <w:pStyle w:val="List"/>
              <w:rPr>
                <w:lang w:val="en-NZ"/>
              </w:rPr>
            </w:pPr>
            <w:r w:rsidRPr="00352DE0">
              <w:t>1.8. Accurately document details of client history and assessments in client records ac</w:t>
            </w:r>
            <w:r w:rsidRPr="00352DE0">
              <w:t>cording to organisational policies and procedures.</w:t>
            </w:r>
          </w:p>
        </w:tc>
      </w:tr>
      <w:tr w:rsidTr="00352D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DE0">
            <w:pPr>
              <w:pStyle w:val="List"/>
              <w:rPr>
                <w:lang w:val="en-NZ"/>
              </w:rPr>
            </w:pPr>
            <w:r w:rsidRPr="00352DE0">
              <w:t>2.  Treat minor ear health conditions.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DE0" w:rsidP="00352DE0">
            <w:pPr>
              <w:pStyle w:val="List"/>
            </w:pPr>
            <w:r w:rsidRPr="00352DE0">
              <w:t>2.1. Explain the reason and procedures for the treatment, confirm client understanding and obtain informed consent.</w:t>
            </w:r>
          </w:p>
          <w:p w:rsidR="00000000" w:rsidRPr="00352DE0" w:rsidP="00352DE0">
            <w:pPr>
              <w:pStyle w:val="List"/>
            </w:pPr>
            <w:r w:rsidRPr="00352DE0">
              <w:t>2.2. Implement required infection control precautions according to treatment requirements.</w:t>
            </w:r>
          </w:p>
          <w:p w:rsidR="00000000" w:rsidRPr="00352DE0" w:rsidP="00352DE0">
            <w:pPr>
              <w:pStyle w:val="List"/>
            </w:pPr>
            <w:r w:rsidRPr="00352DE0">
              <w:t>2.3. Administer treatments according to scope of practice and organisational standard treatment protocols.</w:t>
            </w:r>
          </w:p>
          <w:p w:rsidR="00000000" w:rsidRPr="00352DE0" w:rsidP="00352DE0">
            <w:pPr>
              <w:pStyle w:val="List"/>
            </w:pPr>
            <w:r w:rsidRPr="00352DE0">
              <w:t>2.4. Recommend and demonstrate correct use of ear medicati</w:t>
            </w:r>
            <w:r w:rsidRPr="00352DE0">
              <w:t>ons for clients with ear infections and symptomatic ear wax.</w:t>
            </w:r>
          </w:p>
          <w:p w:rsidR="00000000" w:rsidRPr="00352DE0" w:rsidP="00352DE0">
            <w:pPr>
              <w:pStyle w:val="List"/>
            </w:pPr>
            <w:r w:rsidRPr="00352DE0">
              <w:t>2.5. Follow first aid procedures and organisational standard treatment protocols to address acute ear problems and injuries.</w:t>
            </w:r>
          </w:p>
          <w:p w:rsidR="00000000" w:rsidRPr="00352DE0" w:rsidP="00352DE0">
            <w:pPr>
              <w:pStyle w:val="List"/>
            </w:pPr>
            <w:r w:rsidRPr="00352DE0">
              <w:t>2.6. Recognise situations requiring immediate emergency medical care a</w:t>
            </w:r>
            <w:r w:rsidRPr="00352DE0">
              <w:t>nd organise prompt assistance according to organisational policies and procedures.</w:t>
            </w:r>
          </w:p>
          <w:p w:rsidR="00000000" w:rsidP="00352DE0">
            <w:pPr>
              <w:pStyle w:val="List"/>
              <w:rPr>
                <w:lang w:val="en-NZ"/>
              </w:rPr>
            </w:pPr>
            <w:r w:rsidRPr="00352DE0">
              <w:t>2.7. Update client records accurately and according to organisational procedures.</w:t>
            </w:r>
          </w:p>
        </w:tc>
      </w:tr>
      <w:tr w:rsidTr="00352D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DE0">
            <w:pPr>
              <w:pStyle w:val="List"/>
              <w:rPr>
                <w:lang w:val="en-NZ"/>
              </w:rPr>
            </w:pPr>
            <w:r w:rsidRPr="00352DE0">
              <w:t>3.  Support clients with ongoing ear health conditions.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DE0" w:rsidP="00352DE0">
            <w:pPr>
              <w:pStyle w:val="List"/>
            </w:pPr>
            <w:r w:rsidRPr="00352DE0">
              <w:t>3.1. Work within scope of practice</w:t>
            </w:r>
            <w:r w:rsidRPr="00352DE0">
              <w:t xml:space="preserve"> and according to guidance provided by medical practitioner, audiometrist or audiologist, to provide continuity of care.</w:t>
            </w:r>
          </w:p>
          <w:p w:rsidR="00000000" w:rsidRPr="00352DE0" w:rsidP="00352DE0">
            <w:pPr>
              <w:pStyle w:val="List"/>
            </w:pPr>
            <w:r w:rsidRPr="00352DE0">
              <w:t>3.2. Facilitate links and discussions between clients and ear specialists using culturally appropriate communication and information sh</w:t>
            </w:r>
            <w:r w:rsidRPr="00352DE0">
              <w:t>aring.</w:t>
            </w:r>
          </w:p>
          <w:p w:rsidR="00000000" w:rsidRPr="00352DE0" w:rsidP="00352DE0">
            <w:pPr>
              <w:pStyle w:val="List"/>
            </w:pPr>
            <w:r w:rsidRPr="00352DE0">
              <w:t>3.3. Identify and provide practical support that assists clients to access specialist ear health services.</w:t>
            </w:r>
          </w:p>
          <w:p w:rsidR="00000000" w:rsidP="00352DE0">
            <w:pPr>
              <w:pStyle w:val="List"/>
              <w:rPr>
                <w:lang w:val="en-NZ"/>
              </w:rPr>
            </w:pPr>
            <w:r w:rsidRPr="00352DE0">
              <w:t xml:space="preserve">3.4. Update client records accurately and according to </w:t>
            </w:r>
            <w:r w:rsidRPr="00352DE0">
              <w:t>organisational procedures.</w:t>
            </w:r>
          </w:p>
        </w:tc>
      </w:tr>
      <w:tr w:rsidTr="00352D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DE0">
            <w:pPr>
              <w:pStyle w:val="List"/>
              <w:rPr>
                <w:lang w:val="en-NZ"/>
              </w:rPr>
            </w:pPr>
            <w:r w:rsidRPr="00352DE0">
              <w:t>4.  Provide resources and information about ear health.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DE0" w:rsidP="00352DE0">
            <w:pPr>
              <w:pStyle w:val="List"/>
            </w:pPr>
            <w:r w:rsidRPr="00352DE0">
              <w:t>4.1. Provide culturally appropriate education resources about ear health to clients and their families.</w:t>
            </w:r>
          </w:p>
          <w:p w:rsidR="00000000" w:rsidRPr="00352DE0" w:rsidP="00352DE0">
            <w:pPr>
              <w:pStyle w:val="List"/>
            </w:pPr>
            <w:r w:rsidRPr="00352DE0">
              <w:t>4.2. Inform clients about ear health care resources and services available in the community and state or territory.</w:t>
            </w:r>
          </w:p>
          <w:p w:rsidR="00000000" w:rsidRPr="00352DE0" w:rsidP="00352DE0">
            <w:pPr>
              <w:pStyle w:val="List"/>
            </w:pPr>
            <w:r w:rsidRPr="00352DE0">
              <w:t>4.3. Provide information about the i</w:t>
            </w:r>
            <w:r w:rsidRPr="00352DE0">
              <w:t>mportance of healthy lifestyle and protection and monitoring of own ear health.</w:t>
            </w:r>
          </w:p>
          <w:p w:rsidR="00000000" w:rsidRPr="00352DE0" w:rsidP="00352DE0">
            <w:pPr>
              <w:pStyle w:val="List"/>
            </w:pPr>
            <w:r w:rsidRPr="00352DE0">
              <w:t>4.4. Explain to clients the nature of potential complications of diseases and their impacts on ear health and hearing.</w:t>
            </w:r>
          </w:p>
          <w:p w:rsidR="00000000" w:rsidRPr="00352DE0" w:rsidP="00352DE0">
            <w:pPr>
              <w:pStyle w:val="List"/>
            </w:pPr>
            <w:r w:rsidRPr="00352DE0">
              <w:t xml:space="preserve">4.5. Use visual aids and explain basic aspects of common </w:t>
            </w:r>
            <w:r w:rsidRPr="00352DE0">
              <w:t>ear conditions and how they are treated and managed.</w:t>
            </w:r>
          </w:p>
          <w:p w:rsidR="00000000" w:rsidRPr="00352DE0" w:rsidP="00352DE0">
            <w:pPr>
              <w:pStyle w:val="List"/>
            </w:pPr>
            <w:r w:rsidRPr="00352DE0">
              <w:t>4.6. Update client records accurately and according to organisational procedures.</w:t>
            </w:r>
          </w:p>
        </w:tc>
      </w:tr>
    </w:tbl>
    <w:p w:rsidR="00000000" w:rsidRPr="00352DE0" w:rsidP="00352DE0">
      <w:pPr>
        <w:pStyle w:val="BodyText"/>
      </w:pPr>
    </w:p>
    <w:p w:rsidR="00000000" w:rsidRPr="00352DE0" w:rsidP="00352DE0">
      <w:pPr>
        <w:pStyle w:val="AllowPageBreak"/>
      </w:pPr>
    </w:p>
    <w:p w:rsidR="00000000" w:rsidRPr="00352DE0" w:rsidP="00352DE0">
      <w:pPr>
        <w:pStyle w:val="Heading1"/>
      </w:pPr>
      <w:bookmarkStart w:id="7" w:name="O_1278444"/>
      <w:bookmarkEnd w:id="7"/>
      <w:r w:rsidRPr="00352DE0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352D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DE0">
            <w:pPr>
              <w:pStyle w:val="BodyText"/>
              <w:rPr>
                <w:lang w:val="en-NZ"/>
              </w:rPr>
            </w:pPr>
            <w:r w:rsidRPr="00352DE0">
              <w:rPr>
                <w:rStyle w:val="Emphasis"/>
              </w:rPr>
              <w:t>Foundation skills essential to performance in this unit, but not explicit in the p</w:t>
            </w:r>
            <w:r w:rsidRPr="00352DE0">
              <w:rPr>
                <w:rStyle w:val="Emphasis"/>
              </w:rPr>
              <w:t>erformance criteria are listed here, along with a brief context statement.</w:t>
            </w:r>
          </w:p>
        </w:tc>
      </w:tr>
      <w:tr w:rsidTr="00352D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DE0" w:rsidP="00352DE0">
            <w:pPr>
              <w:pStyle w:val="BodyText"/>
            </w:pPr>
            <w:r w:rsidRPr="00352DE0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DE0">
            <w:pPr>
              <w:pStyle w:val="BodyText"/>
              <w:rPr>
                <w:lang w:val="en-NZ"/>
              </w:rPr>
            </w:pPr>
            <w:r w:rsidRPr="00352DE0">
              <w:rPr>
                <w:rStyle w:val="SpecialBold"/>
              </w:rPr>
              <w:t>DESCRIPTION</w:t>
            </w:r>
          </w:p>
        </w:tc>
      </w:tr>
      <w:tr w:rsidTr="00352D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DE0">
            <w:pPr>
              <w:pStyle w:val="BodyText"/>
              <w:rPr>
                <w:lang w:val="en-NZ"/>
              </w:rPr>
            </w:pPr>
            <w:r w:rsidRPr="00352DE0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DE0" w:rsidP="00352DE0">
            <w:pPr>
              <w:pStyle w:val="ListBullet"/>
            </w:pPr>
            <w:r w:rsidRPr="00352DE0">
              <w:t>interpret familiar detailed organisational policies and procedures</w:t>
            </w:r>
          </w:p>
          <w:p w:rsidR="00000000" w:rsidP="00352DE0">
            <w:pPr>
              <w:pStyle w:val="ListBullet"/>
              <w:rPr>
                <w:lang w:val="en-NZ"/>
              </w:rPr>
            </w:pPr>
            <w:r w:rsidRPr="00352DE0">
              <w:t>interpret sometimes complex and unfamiliar standard treatment protocols and client records involving medical terminology and abbreviations.</w:t>
            </w:r>
          </w:p>
        </w:tc>
      </w:tr>
      <w:tr w:rsidTr="00352D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DE0">
            <w:pPr>
              <w:pStyle w:val="BodyText"/>
              <w:rPr>
                <w:lang w:val="en-NZ"/>
              </w:rPr>
            </w:pPr>
            <w:r w:rsidRPr="00352DE0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DE0">
            <w:pPr>
              <w:pStyle w:val="ListBullet"/>
              <w:rPr>
                <w:lang w:val="en-NZ"/>
              </w:rPr>
            </w:pPr>
            <w:r w:rsidRPr="00352DE0">
              <w:t xml:space="preserve">use fundamental sentence structure, health terminology and abbreviations to complete forms and </w:t>
            </w:r>
            <w:r w:rsidRPr="00352DE0">
              <w:t>reports that require factual information.</w:t>
            </w:r>
          </w:p>
        </w:tc>
      </w:tr>
      <w:tr w:rsidTr="00352D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DE0">
            <w:pPr>
              <w:pStyle w:val="BodyText"/>
              <w:rPr>
                <w:lang w:val="en-NZ"/>
              </w:rPr>
            </w:pPr>
            <w:r w:rsidRPr="00352DE0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DE0" w:rsidP="00352DE0">
            <w:pPr>
              <w:pStyle w:val="ListBullet"/>
            </w:pPr>
            <w:r w:rsidRPr="00352DE0">
              <w:t>provide unambiguous information to clients using plain language and terms easily understood</w:t>
            </w:r>
          </w:p>
          <w:p w:rsidR="00000000" w:rsidP="00352DE0">
            <w:pPr>
              <w:pStyle w:val="ListBullet"/>
              <w:rPr>
                <w:lang w:val="en-NZ"/>
              </w:rPr>
            </w:pPr>
            <w:r w:rsidRPr="00352DE0">
              <w:t>ask open and closed probe questions and actively listen to elicit information from clients and determine understanding of information provided.</w:t>
            </w:r>
          </w:p>
        </w:tc>
      </w:tr>
      <w:tr w:rsidTr="00352D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DE0">
            <w:pPr>
              <w:pStyle w:val="BodyText"/>
              <w:rPr>
                <w:lang w:val="en-NZ"/>
              </w:rPr>
            </w:pPr>
            <w:r w:rsidRPr="00352DE0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DE0">
            <w:pPr>
              <w:pStyle w:val="ListBullet"/>
              <w:rPr>
                <w:lang w:val="en-NZ"/>
              </w:rPr>
            </w:pPr>
            <w:r w:rsidRPr="00352DE0">
              <w:t>interpret and document medical numerical abbreviations and terminology in client records.</w:t>
            </w:r>
          </w:p>
        </w:tc>
      </w:tr>
      <w:tr w:rsidTr="00352D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DE0">
            <w:pPr>
              <w:pStyle w:val="BodyText"/>
              <w:rPr>
                <w:lang w:val="en-NZ"/>
              </w:rPr>
            </w:pPr>
            <w:r w:rsidRPr="00352DE0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DE0" w:rsidP="00352DE0">
            <w:pPr>
              <w:pStyle w:val="ListBullet"/>
            </w:pPr>
            <w:r w:rsidRPr="00352DE0">
              <w:t>select and use medical equipment suited to purpose of ear health assessments and treatments.</w:t>
            </w:r>
          </w:p>
        </w:tc>
      </w:tr>
    </w:tbl>
    <w:p w:rsidR="00000000" w:rsidRPr="00352DE0" w:rsidP="00352DE0">
      <w:pPr>
        <w:pStyle w:val="BodyText"/>
      </w:pPr>
    </w:p>
    <w:p w:rsidR="00000000" w:rsidRPr="00352DE0" w:rsidP="00352DE0">
      <w:pPr>
        <w:pStyle w:val="AllowPageBreak"/>
      </w:pPr>
    </w:p>
    <w:p w:rsidR="00000000" w:rsidRPr="00352DE0" w:rsidP="00352DE0">
      <w:pPr>
        <w:pStyle w:val="Heading1"/>
      </w:pPr>
      <w:bookmarkStart w:id="8" w:name="O_1278446"/>
      <w:bookmarkEnd w:id="8"/>
      <w:r w:rsidRPr="00352DE0">
        <w:t>Unit Mapping Information</w:t>
      </w:r>
    </w:p>
    <w:p w:rsidR="00000000" w:rsidRPr="00352DE0" w:rsidP="007A6683">
      <w:pPr>
        <w:pStyle w:val="BodyText"/>
      </w:pPr>
      <w:r w:rsidRPr="00352DE0">
        <w:t>No equivalent unit.</w:t>
      </w:r>
    </w:p>
    <w:p w:rsidR="00000000" w:rsidRPr="00352DE0" w:rsidP="00352DE0">
      <w:pPr>
        <w:pStyle w:val="Heading1"/>
      </w:pPr>
      <w:bookmarkStart w:id="9" w:name="O_1278453"/>
      <w:bookmarkEnd w:id="9"/>
      <w:r w:rsidRPr="00352DE0">
        <w:t>Links</w:t>
      </w:r>
    </w:p>
    <w:p w:rsidR="00000000" w:rsidRPr="00352DE0" w:rsidP="007A6683">
      <w:pPr>
        <w:pStyle w:val="BodyText"/>
      </w:pPr>
      <w:r w:rsidRPr="00352DE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D85C27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352DE0" w:rsidP="00352DE0"/>
    <w:sectPr w:rsidSect="00352DE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DE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DE0" w:rsidRPr="007A6683" w:rsidP="007A668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DE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6683" w:rsidP="00352D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A6683" w:rsidP="00352D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A6683" w:rsidP="00352DE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DE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668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52DE0" w:rsidRPr="007A6683" w:rsidP="007A668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DE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6683" w:rsidRPr="002D2AF8" w:rsidP="00352D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HLTAHCS014 Provide ear health care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7A6683" w:rsidP="00352DE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B6E1B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E5A139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2DE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52DE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52DE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52DE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52DE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52DE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52DE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52DE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52DE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52DE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52DE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52DE0"/>
  </w:style>
  <w:style w:type="character" w:customStyle="1" w:styleId="Heading1Char">
    <w:name w:val="Heading 1 Char"/>
    <w:basedOn w:val="DefaultParagraphFont"/>
    <w:link w:val="Heading1"/>
    <w:rsid w:val="00352DE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52DE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52DE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52DE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52DE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52DE0"/>
    <w:rPr>
      <w:b/>
      <w:spacing w:val="0"/>
    </w:rPr>
  </w:style>
  <w:style w:type="character" w:styleId="Emphasis">
    <w:name w:val="Emphasis"/>
    <w:basedOn w:val="DefaultParagraphFont"/>
    <w:qFormat/>
    <w:rsid w:val="00352DE0"/>
    <w:rPr>
      <w:i/>
    </w:rPr>
  </w:style>
  <w:style w:type="paragraph" w:customStyle="1" w:styleId="SuperHeading">
    <w:name w:val="SuperHeading"/>
    <w:basedOn w:val="Normal"/>
    <w:rsid w:val="00352DE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52DE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52DE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52DE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52DE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52D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52D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52D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52D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52DE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52DE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52DE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52DE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52DE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52DE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52DE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52DE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52DE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52DE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52DE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52DE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52DE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52DE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52DE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52DE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52DE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52DE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52DE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52DE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52DE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52DE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52DE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52DE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52DE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52DE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52DE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52DE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52DE0"/>
  </w:style>
  <w:style w:type="paragraph" w:styleId="TableofFigures">
    <w:name w:val="table of figures"/>
    <w:basedOn w:val="Normal"/>
    <w:next w:val="Normal"/>
    <w:semiHidden/>
    <w:rsid w:val="00352DE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52DE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52DE0"/>
    <w:rPr>
      <w:rFonts w:ascii="Wingdings" w:hAnsi="Wingdings"/>
    </w:rPr>
  </w:style>
  <w:style w:type="paragraph" w:customStyle="1" w:styleId="TableHeading">
    <w:name w:val="Table Heading"/>
    <w:basedOn w:val="HeadingBase"/>
    <w:rsid w:val="00352DE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52DE0"/>
    <w:rPr>
      <w:color w:val="0033CC"/>
      <w:u w:val="none"/>
    </w:rPr>
  </w:style>
  <w:style w:type="paragraph" w:customStyle="1" w:styleId="BodyTextRight">
    <w:name w:val="Body Text Right"/>
    <w:basedOn w:val="BodyText"/>
    <w:rsid w:val="00352DE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52DE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52DE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52DE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52DE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52DE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52DE0"/>
    <w:rPr>
      <w:sz w:val="32"/>
    </w:rPr>
  </w:style>
  <w:style w:type="paragraph" w:customStyle="1" w:styleId="HeadingProcedure">
    <w:name w:val="Heading Procedure"/>
    <w:basedOn w:val="HeadingBase"/>
    <w:next w:val="Normal"/>
    <w:rsid w:val="00352DE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52DE0"/>
    <w:pPr>
      <w:spacing w:before="60" w:after="60"/>
    </w:pPr>
  </w:style>
  <w:style w:type="paragraph" w:styleId="ListContinue">
    <w:name w:val="List Continue"/>
    <w:basedOn w:val="List"/>
    <w:rsid w:val="00352DE0"/>
    <w:pPr>
      <w:ind w:firstLine="0"/>
    </w:pPr>
  </w:style>
  <w:style w:type="paragraph" w:customStyle="1" w:styleId="ListNote">
    <w:name w:val="List Note"/>
    <w:basedOn w:val="List"/>
    <w:rsid w:val="00352DE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52DE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52DE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52DE0"/>
    <w:rPr>
      <w:rFonts w:ascii="Courier New" w:hAnsi="Courier New"/>
    </w:rPr>
  </w:style>
  <w:style w:type="paragraph" w:customStyle="1" w:styleId="NoteBullet">
    <w:name w:val="Note Bullet"/>
    <w:basedOn w:val="Note"/>
    <w:rsid w:val="00352DE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52DE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52DE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52DE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52DE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52DE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52DE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52DE0"/>
    <w:rPr>
      <w:b/>
      <w:smallCaps/>
    </w:rPr>
  </w:style>
  <w:style w:type="paragraph" w:customStyle="1" w:styleId="TableListNumber">
    <w:name w:val="Table List Number"/>
    <w:basedOn w:val="ListNumber"/>
    <w:rsid w:val="00352DE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52DE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52DE0"/>
    <w:pPr>
      <w:numPr>
        <w:numId w:val="8"/>
      </w:numPr>
    </w:pPr>
  </w:style>
  <w:style w:type="paragraph" w:customStyle="1" w:styleId="ListAlpha2">
    <w:name w:val="List Alpha 2"/>
    <w:basedOn w:val="List2"/>
    <w:rsid w:val="00352DE0"/>
    <w:pPr>
      <w:numPr>
        <w:numId w:val="7"/>
      </w:numPr>
    </w:pPr>
  </w:style>
  <w:style w:type="paragraph" w:styleId="List2">
    <w:name w:val="List 2"/>
    <w:basedOn w:val="BodyText"/>
    <w:rsid w:val="00352DE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52DE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52DE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52DE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52DE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52DE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52DE0"/>
    <w:pPr>
      <w:numPr>
        <w:numId w:val="3"/>
      </w:numPr>
    </w:pPr>
  </w:style>
  <w:style w:type="paragraph" w:styleId="ListContinue2">
    <w:name w:val="List Continue 2"/>
    <w:basedOn w:val="List2"/>
    <w:rsid w:val="00352DE0"/>
    <w:pPr>
      <w:ind w:firstLine="0"/>
    </w:pPr>
  </w:style>
  <w:style w:type="paragraph" w:styleId="ListContinue3">
    <w:name w:val="List Continue 3"/>
    <w:basedOn w:val="List3"/>
    <w:rsid w:val="00352DE0"/>
    <w:pPr>
      <w:ind w:left="1021" w:firstLine="0"/>
    </w:pPr>
  </w:style>
  <w:style w:type="paragraph" w:styleId="ListContinue4">
    <w:name w:val="List Continue 4"/>
    <w:basedOn w:val="List4"/>
    <w:rsid w:val="00352DE0"/>
    <w:pPr>
      <w:ind w:firstLine="0"/>
    </w:pPr>
  </w:style>
  <w:style w:type="paragraph" w:styleId="ListContinue5">
    <w:name w:val="List Continue 5"/>
    <w:basedOn w:val="List5"/>
    <w:rsid w:val="00352DE0"/>
    <w:pPr>
      <w:ind w:firstLine="0"/>
    </w:pPr>
  </w:style>
  <w:style w:type="paragraph" w:styleId="ListNumber3">
    <w:name w:val="List Number 3"/>
    <w:basedOn w:val="List3"/>
    <w:rsid w:val="00352DE0"/>
    <w:pPr>
      <w:numPr>
        <w:numId w:val="4"/>
      </w:numPr>
    </w:pPr>
  </w:style>
  <w:style w:type="paragraph" w:styleId="ListNumber4">
    <w:name w:val="List Number 4"/>
    <w:basedOn w:val="List4"/>
    <w:rsid w:val="00352DE0"/>
    <w:pPr>
      <w:numPr>
        <w:numId w:val="5"/>
      </w:numPr>
    </w:pPr>
  </w:style>
  <w:style w:type="paragraph" w:styleId="ListNumber5">
    <w:name w:val="List Number 5"/>
    <w:basedOn w:val="List5"/>
    <w:rsid w:val="00352DE0"/>
    <w:pPr>
      <w:numPr>
        <w:numId w:val="6"/>
      </w:numPr>
    </w:pPr>
  </w:style>
  <w:style w:type="paragraph" w:styleId="BlockText">
    <w:name w:val="Block Text"/>
    <w:basedOn w:val="Normal"/>
    <w:rsid w:val="00352DE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52DE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52DE0"/>
    <w:rPr>
      <w:sz w:val="16"/>
      <w:vertAlign w:val="superscript"/>
    </w:rPr>
  </w:style>
  <w:style w:type="character" w:customStyle="1" w:styleId="Symbols">
    <w:name w:val="Symbols"/>
    <w:basedOn w:val="DefaultParagraphFont"/>
    <w:rsid w:val="00352DE0"/>
    <w:rPr>
      <w:rFonts w:ascii="Symbol" w:hAnsi="Symbol"/>
    </w:rPr>
  </w:style>
  <w:style w:type="character" w:customStyle="1" w:styleId="MenuOptions">
    <w:name w:val="Menu Options"/>
    <w:basedOn w:val="DefaultParagraphFont"/>
    <w:rsid w:val="00352DE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52DE0"/>
    <w:rPr>
      <w:b/>
    </w:rPr>
  </w:style>
  <w:style w:type="character" w:customStyle="1" w:styleId="Underlined">
    <w:name w:val="Underlined"/>
    <w:basedOn w:val="DefaultParagraphFont"/>
    <w:rsid w:val="00352DE0"/>
    <w:rPr>
      <w:u w:val="single"/>
    </w:rPr>
  </w:style>
  <w:style w:type="paragraph" w:customStyle="1" w:styleId="TableBodyTextRight">
    <w:name w:val="Table Body Text Right"/>
    <w:basedOn w:val="TableBodyText"/>
    <w:rsid w:val="00352DE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52DE0"/>
    <w:rPr>
      <w:sz w:val="18"/>
    </w:rPr>
  </w:style>
  <w:style w:type="paragraph" w:customStyle="1" w:styleId="BodySmallRight">
    <w:name w:val="Body Small Right"/>
    <w:basedOn w:val="BodyTextRight"/>
    <w:rsid w:val="00352DE0"/>
    <w:rPr>
      <w:sz w:val="18"/>
      <w:szCs w:val="18"/>
    </w:rPr>
  </w:style>
  <w:style w:type="paragraph" w:customStyle="1" w:styleId="MarginEdition">
    <w:name w:val="Margin Edition"/>
    <w:basedOn w:val="MarginNote"/>
    <w:rsid w:val="00352DE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52DE0"/>
    <w:rPr>
      <w:sz w:val="2"/>
      <w:szCs w:val="2"/>
    </w:rPr>
  </w:style>
  <w:style w:type="character" w:customStyle="1" w:styleId="Small">
    <w:name w:val="Small"/>
    <w:basedOn w:val="DefaultParagraphFont"/>
    <w:rsid w:val="00352DE0"/>
    <w:rPr>
      <w:sz w:val="16"/>
    </w:rPr>
  </w:style>
  <w:style w:type="paragraph" w:customStyle="1" w:styleId="WideTable">
    <w:name w:val="Wide Table"/>
    <w:basedOn w:val="Normal"/>
    <w:rsid w:val="00352DE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52DE0"/>
  </w:style>
  <w:style w:type="paragraph" w:styleId="Quote">
    <w:name w:val="Quote"/>
    <w:basedOn w:val="Heading1"/>
    <w:link w:val="QuoteChar"/>
    <w:qFormat/>
    <w:rsid w:val="00352DE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52DE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52DE0"/>
    <w:pPr>
      <w:pageBreakBefore/>
    </w:pPr>
  </w:style>
  <w:style w:type="paragraph" w:customStyle="1" w:styleId="Border">
    <w:name w:val="Border"/>
    <w:basedOn w:val="Normal"/>
    <w:qFormat/>
    <w:rsid w:val="00352DE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52DE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2DE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2DE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52DE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52DE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52DE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52DE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52DE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52DE0"/>
    <w:rPr>
      <w:u w:val="single"/>
    </w:rPr>
  </w:style>
  <w:style w:type="character" w:customStyle="1" w:styleId="BoldandItalics">
    <w:name w:val="Bold and Italics"/>
    <w:qFormat/>
    <w:rsid w:val="00352DE0"/>
    <w:rPr>
      <w:b/>
      <w:i/>
      <w:u w:val="none"/>
    </w:rPr>
  </w:style>
  <w:style w:type="paragraph" w:styleId="BalloonText">
    <w:name w:val="Balloon Text"/>
    <w:basedOn w:val="Normal"/>
    <w:link w:val="BalloonTextChar"/>
    <w:rsid w:val="00352D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2DE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52DE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52DE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52DE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52DE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52DE0"/>
    <w:pPr>
      <w:spacing w:before="0" w:after="0"/>
    </w:pPr>
  </w:style>
  <w:style w:type="paragraph" w:customStyle="1" w:styleId="BodyTextBold">
    <w:name w:val="Body Text Bold"/>
    <w:basedOn w:val="BodyText"/>
    <w:qFormat/>
    <w:rsid w:val="00352DE0"/>
    <w:rPr>
      <w:b/>
    </w:rPr>
  </w:style>
  <w:style w:type="character" w:styleId="Hyperlink">
    <w:name w:val="Hyperlink"/>
    <w:basedOn w:val="DefaultParagraphFont"/>
    <w:uiPriority w:val="99"/>
    <w:unhideWhenUsed/>
    <w:rsid w:val="007A668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819</Words>
  <Characters>5252</Characters>
  <Application>Microsoft Office Word</Application>
  <DocSecurity>0</DocSecurity>
  <Lines>150</Lines>
  <Paragraphs>84</Paragraphs>
  <ScaleCrop>false</ScaleCrop>
  <Company>Author-it Software Corporation Ltd.</Company>
  <LinksUpToDate>false</LinksUpToDate>
  <CharactersWithSpaces>5987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HLTAHCS014 Provide ear health care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2023-07-02T01:37:00Z</dcterms:created>
  <dcterms:modified xsi:type="dcterms:W3CDTF">2023-07-02T01:37:00Z</dcterms:modified>
</cp:coreProperties>
</file>