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FE3" w:rsidP="00C23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HLTAHCS013 Provide eye health care</w:t>
      </w:r>
      <w:r>
        <w:fldChar w:fldCharType="end"/>
      </w:r>
    </w:p>
    <w:p w:rsidR="00C23FE3" w:rsidP="00C23FE3">
      <w:pPr>
        <w:pStyle w:val="Version"/>
        <w:sectPr w:rsidSect="00EC0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C73" w:rsidP="00EC0C73">
      <w:pPr>
        <w:pStyle w:val="SuperHeading"/>
      </w:pPr>
      <w:r w:rsidRPr="00EC0C73">
        <w:t>Assessment Requirements for HLTAHCS013 Provide eye health care</w:t>
      </w:r>
    </w:p>
    <w:p w:rsidR="00000000" w:rsidRPr="00EC0C73" w:rsidP="00EC0C73">
      <w:pPr>
        <w:pStyle w:val="Heading1"/>
      </w:pPr>
      <w:bookmarkStart w:id="1" w:name="O_1278332"/>
      <w:bookmarkEnd w:id="1"/>
      <w:r w:rsidRPr="00EC0C73">
        <w:t>Modification History</w:t>
      </w:r>
    </w:p>
    <w:p w:rsidR="00000000" w:rsidRPr="00EC0C73" w:rsidP="00C23FE3">
      <w:pPr>
        <w:pStyle w:val="BodyText"/>
      </w:pPr>
      <w:r w:rsidRPr="00EC0C73">
        <w:t>Not applicable.</w:t>
      </w:r>
    </w:p>
    <w:p w:rsidR="00000000" w:rsidRPr="00EC0C73" w:rsidP="00EC0C73">
      <w:pPr>
        <w:pStyle w:val="Heading1"/>
      </w:pPr>
      <w:bookmarkStart w:id="2" w:name="O_1278333"/>
      <w:bookmarkEnd w:id="2"/>
      <w:r w:rsidRPr="00EC0C73">
        <w:t>Performance Evidence</w:t>
      </w:r>
    </w:p>
    <w:p w:rsidR="00000000" w:rsidRPr="00EC0C73" w:rsidP="00C23FE3">
      <w:pPr>
        <w:pStyle w:val="BodyText"/>
      </w:pPr>
      <w:r w:rsidRPr="00EC0C73">
        <w:t>Evidence of the ability to complete tasks outlined in elements and performance criteria of this unit in the context of the job role, and:</w:t>
      </w:r>
    </w:p>
    <w:p w:rsidR="00000000" w:rsidRPr="00EC0C73" w:rsidP="00EC0C73">
      <w:pPr>
        <w:pStyle w:val="ListBullet"/>
      </w:pPr>
      <w:r w:rsidRPr="00EC0C73">
        <w:t>complete an eye health assessment of four different Aboriginal and/or Torres Strait Islander clients including:</w:t>
      </w:r>
    </w:p>
    <w:p w:rsidR="00000000" w:rsidRPr="00EC0C73" w:rsidP="00EC0C73">
      <w:pPr>
        <w:pStyle w:val="ListBullet2"/>
      </w:pPr>
      <w:r w:rsidRPr="00EC0C73">
        <w:t xml:space="preserve">two </w:t>
      </w:r>
      <w:r w:rsidRPr="00EC0C73">
        <w:t>children</w:t>
      </w:r>
    </w:p>
    <w:p w:rsidR="00000000" w:rsidRPr="00EC0C73" w:rsidP="00EC0C73">
      <w:pPr>
        <w:pStyle w:val="ListBullet2"/>
      </w:pPr>
      <w:r w:rsidRPr="00EC0C73">
        <w:t>two adults</w:t>
      </w:r>
    </w:p>
    <w:p w:rsidR="00000000" w:rsidRPr="00EC0C73" w:rsidP="00EC0C73">
      <w:pPr>
        <w:pStyle w:val="ListBullet"/>
      </w:pPr>
      <w:r w:rsidRPr="00EC0C73">
        <w:t>for each of the four clients, complete a basic external eye examination including:</w:t>
      </w:r>
    </w:p>
    <w:p w:rsidR="00000000" w:rsidRPr="00EC0C73" w:rsidP="00EC0C73">
      <w:pPr>
        <w:pStyle w:val="ListBullet2"/>
      </w:pPr>
      <w:r w:rsidRPr="00EC0C73">
        <w:t>peri-orbital regions</w:t>
      </w:r>
    </w:p>
    <w:p w:rsidR="00000000" w:rsidRPr="00EC0C73" w:rsidP="00EC0C73">
      <w:pPr>
        <w:pStyle w:val="ListBullet2"/>
      </w:pPr>
      <w:r w:rsidRPr="00EC0C73">
        <w:t>eyelids (inside and out), and eyelashes</w:t>
      </w:r>
    </w:p>
    <w:p w:rsidR="00000000" w:rsidRPr="00EC0C73" w:rsidP="00EC0C73">
      <w:pPr>
        <w:pStyle w:val="ListBullet2"/>
      </w:pPr>
      <w:r w:rsidRPr="00EC0C73">
        <w:t>pupils</w:t>
      </w:r>
    </w:p>
    <w:p w:rsidR="00000000" w:rsidRPr="00EC0C73" w:rsidP="00EC0C73">
      <w:pPr>
        <w:pStyle w:val="ListBullet2"/>
      </w:pPr>
      <w:r w:rsidRPr="00EC0C73">
        <w:t>visual acuity test measuring both near and distance vision</w:t>
      </w:r>
    </w:p>
    <w:p w:rsidR="00000000" w:rsidRPr="00EC0C73" w:rsidP="00EC0C73">
      <w:pPr>
        <w:pStyle w:val="ListBullet2"/>
      </w:pPr>
      <w:r w:rsidRPr="00EC0C73">
        <w:t>retinal photography</w:t>
      </w:r>
    </w:p>
    <w:p w:rsidR="00000000" w:rsidRPr="00EC0C73" w:rsidP="00EC0C73">
      <w:pPr>
        <w:pStyle w:val="ListBullet"/>
      </w:pPr>
      <w:r w:rsidRPr="00EC0C73">
        <w:t>for each of the four clients, and according to their individual needs, provide clear information and explanations about:</w:t>
      </w:r>
    </w:p>
    <w:p w:rsidR="00000000" w:rsidRPr="00EC0C73" w:rsidP="00EC0C73">
      <w:pPr>
        <w:pStyle w:val="ListBullet2"/>
      </w:pPr>
      <w:r w:rsidRPr="00EC0C73">
        <w:t>eye health conditions and treatments</w:t>
      </w:r>
    </w:p>
    <w:p w:rsidR="00000000" w:rsidRPr="00EC0C73" w:rsidP="00EC0C73">
      <w:pPr>
        <w:pStyle w:val="ListBullet2"/>
      </w:pPr>
      <w:r w:rsidRPr="00EC0C73">
        <w:t>self-care preventative practices that support good eye health</w:t>
      </w:r>
    </w:p>
    <w:p w:rsidR="00000000" w:rsidRPr="00EC0C73" w:rsidP="00EC0C73">
      <w:pPr>
        <w:pStyle w:val="ListBullet2"/>
      </w:pPr>
      <w:r w:rsidRPr="00EC0C73">
        <w:t xml:space="preserve">available eye health resources and </w:t>
      </w:r>
      <w:r w:rsidRPr="00EC0C73">
        <w:t>support services</w:t>
      </w:r>
    </w:p>
    <w:p w:rsidR="00000000" w:rsidRPr="00EC0C73" w:rsidP="00EC0C73">
      <w:pPr>
        <w:pStyle w:val="ListBullet"/>
      </w:pPr>
      <w:r w:rsidRPr="00EC0C73">
        <w:t>treat each of the following on two occasions:</w:t>
      </w:r>
    </w:p>
    <w:p w:rsidR="00000000" w:rsidRPr="00EC0C73" w:rsidP="00EC0C73">
      <w:pPr>
        <w:pStyle w:val="ListBullet2"/>
      </w:pPr>
      <w:r w:rsidRPr="00EC0C73">
        <w:t>infections, including drop administration</w:t>
      </w:r>
    </w:p>
    <w:p w:rsidR="00000000" w:rsidRPr="00EC0C73" w:rsidP="00EC0C73">
      <w:pPr>
        <w:pStyle w:val="ListBullet2"/>
      </w:pPr>
      <w:r w:rsidRPr="00EC0C73">
        <w:t>presence of corneal foreign bodies</w:t>
      </w:r>
    </w:p>
    <w:p w:rsidR="00000000" w:rsidRPr="00EC0C73" w:rsidP="00EC0C73">
      <w:pPr>
        <w:pStyle w:val="ListBullet2"/>
      </w:pPr>
      <w:r w:rsidRPr="00EC0C73">
        <w:t>minor ocular trauma requiring fitting of eye patch or shield</w:t>
      </w:r>
    </w:p>
    <w:p w:rsidR="00000000" w:rsidRPr="00EC0C73" w:rsidP="00EC0C73">
      <w:pPr>
        <w:pStyle w:val="ListBullet"/>
      </w:pPr>
      <w:r w:rsidRPr="00EC0C73">
        <w:t>document, in client records, accurate details of eac</w:t>
      </w:r>
      <w:r w:rsidRPr="00EC0C73">
        <w:t>h client contact:</w:t>
      </w:r>
    </w:p>
    <w:p w:rsidR="00000000" w:rsidRPr="00EC0C73" w:rsidP="00EC0C73">
      <w:pPr>
        <w:pStyle w:val="ListBullet2"/>
      </w:pPr>
      <w:r w:rsidRPr="00EC0C73">
        <w:t>health history</w:t>
      </w:r>
    </w:p>
    <w:p w:rsidR="00000000" w:rsidRPr="00EC0C73" w:rsidP="00EC0C73">
      <w:pPr>
        <w:pStyle w:val="ListBullet2"/>
      </w:pPr>
      <w:r w:rsidRPr="00EC0C73">
        <w:t>observations, examinations and tests completed</w:t>
      </w:r>
    </w:p>
    <w:p w:rsidR="00000000" w:rsidRPr="00EC0C73" w:rsidP="00EC0C73">
      <w:pPr>
        <w:pStyle w:val="ListBullet2"/>
      </w:pPr>
      <w:r w:rsidRPr="00EC0C73">
        <w:t>treatments, information and referrals provided</w:t>
      </w:r>
    </w:p>
    <w:p w:rsidR="00000000" w:rsidRPr="00EC0C73" w:rsidP="00EC0C73">
      <w:pPr>
        <w:pStyle w:val="ListBullet"/>
      </w:pPr>
      <w:r w:rsidRPr="00EC0C73">
        <w:t>from assessments personally completed or from case study assessment documentation, identify signs of and report on two differen</w:t>
      </w:r>
      <w:r w:rsidRPr="00EC0C73">
        <w:t>t eye conditions which require referral.</w:t>
      </w:r>
    </w:p>
    <w:p w:rsidR="00000000" w:rsidRPr="00EC0C73" w:rsidP="00EC0C73">
      <w:pPr>
        <w:pStyle w:val="AllowPageBreak"/>
      </w:pPr>
    </w:p>
    <w:p w:rsidR="00000000" w:rsidRPr="00EC0C73" w:rsidP="00EC0C73">
      <w:pPr>
        <w:pStyle w:val="Heading1"/>
      </w:pPr>
      <w:bookmarkStart w:id="3" w:name="O_1278334"/>
      <w:bookmarkEnd w:id="3"/>
      <w:r w:rsidRPr="00EC0C73">
        <w:t>Knowledge Evidence</w:t>
      </w:r>
    </w:p>
    <w:p w:rsidR="00000000" w:rsidRPr="00EC0C73" w:rsidP="00C23FE3">
      <w:pPr>
        <w:pStyle w:val="BodyText"/>
      </w:pPr>
      <w:r w:rsidRPr="00EC0C73">
        <w:t>Demonstrated knowledge required to complete the tasks outlined in elements and performance criteria of this unit:</w:t>
      </w:r>
    </w:p>
    <w:p w:rsidR="00000000" w:rsidRPr="00EC0C73" w:rsidP="00EC0C73">
      <w:pPr>
        <w:pStyle w:val="ListBullet"/>
      </w:pPr>
      <w:r w:rsidRPr="00EC0C73">
        <w:t>organisational policies and procedures for:</w:t>
      </w:r>
    </w:p>
    <w:p w:rsidR="00000000" w:rsidRPr="00EC0C73" w:rsidP="00EC0C73">
      <w:pPr>
        <w:pStyle w:val="ListBullet2"/>
      </w:pPr>
      <w:r w:rsidRPr="00EC0C73">
        <w:t>maintaining eye health records</w:t>
      </w:r>
    </w:p>
    <w:p w:rsidR="00000000" w:rsidRPr="00EC0C73" w:rsidP="00EC0C73">
      <w:pPr>
        <w:pStyle w:val="ListBullet2"/>
      </w:pPr>
      <w:r w:rsidRPr="00EC0C73">
        <w:t>maintaining confidentiality of client information</w:t>
      </w:r>
    </w:p>
    <w:p w:rsidR="00000000" w:rsidRPr="00EC0C73" w:rsidP="00EC0C73">
      <w:pPr>
        <w:pStyle w:val="ListBullet"/>
      </w:pPr>
      <w:r w:rsidRPr="00EC0C73">
        <w:t>for eye health:</w:t>
      </w:r>
    </w:p>
    <w:p w:rsidR="00000000" w:rsidRPr="00EC0C73" w:rsidP="00EC0C73">
      <w:pPr>
        <w:pStyle w:val="ListBullet2"/>
      </w:pPr>
      <w:r w:rsidRPr="00EC0C73">
        <w:t>organisational responsibilities and role boundaries of Aboriginal and/or Torres Strait Islander health care workers and practitioners</w:t>
      </w:r>
    </w:p>
    <w:p w:rsidR="00000000" w:rsidRPr="00EC0C73" w:rsidP="00EC0C73">
      <w:pPr>
        <w:pStyle w:val="ListBullet2"/>
      </w:pPr>
      <w:r w:rsidRPr="00EC0C73">
        <w:t>the roles of other memb</w:t>
      </w:r>
      <w:r w:rsidRPr="00EC0C73">
        <w:t>ers of the multidisciplinary care team including medical practitioners, optometrists and ophthalmologists</w:t>
      </w:r>
    </w:p>
    <w:p w:rsidR="00000000" w:rsidRPr="00EC0C73" w:rsidP="00EC0C73">
      <w:pPr>
        <w:pStyle w:val="ListBullet2"/>
      </w:pPr>
      <w:r w:rsidRPr="00EC0C73">
        <w:t>how to facilitate referrals</w:t>
      </w:r>
    </w:p>
    <w:p w:rsidR="00000000" w:rsidRPr="00EC0C73" w:rsidP="00EC0C73">
      <w:pPr>
        <w:pStyle w:val="ListBullet"/>
      </w:pPr>
      <w:r w:rsidRPr="00EC0C73">
        <w:t>key information collected and recorded in medical histories specific to eye health</w:t>
      </w:r>
    </w:p>
    <w:p w:rsidR="00000000" w:rsidRPr="00EC0C73" w:rsidP="00EC0C73">
      <w:pPr>
        <w:pStyle w:val="ListBullet"/>
      </w:pPr>
      <w:r w:rsidRPr="00EC0C73">
        <w:t>types of optical equipment used for ey</w:t>
      </w:r>
      <w:r w:rsidRPr="00EC0C73">
        <w:t>e health assessments and treatments including their key features and operating procedures</w:t>
      </w:r>
    </w:p>
    <w:p w:rsidR="00000000" w:rsidRPr="00EC0C73" w:rsidP="00EC0C73">
      <w:pPr>
        <w:pStyle w:val="ListBullet"/>
      </w:pPr>
      <w:r w:rsidRPr="00EC0C73">
        <w:t>different types of infection control precautions and when these would be used for different types of eye examinations and treatments</w:t>
      </w:r>
    </w:p>
    <w:p w:rsidR="00000000" w:rsidRPr="00EC0C73" w:rsidP="00EC0C73">
      <w:pPr>
        <w:pStyle w:val="ListBullet"/>
      </w:pPr>
      <w:r w:rsidRPr="00EC0C73">
        <w:t>overview anatomy and physiology o</w:t>
      </w:r>
      <w:r w:rsidRPr="00EC0C73">
        <w:t>f the eye:</w:t>
      </w:r>
    </w:p>
    <w:p w:rsidR="00000000" w:rsidRPr="00EC0C73" w:rsidP="00EC0C73">
      <w:pPr>
        <w:pStyle w:val="ListBullet2"/>
      </w:pPr>
      <w:r w:rsidRPr="00EC0C73">
        <w:t>structure of the eye and how it functions</w:t>
      </w:r>
    </w:p>
    <w:p w:rsidR="00000000" w:rsidRPr="00EC0C73" w:rsidP="00EC0C73">
      <w:pPr>
        <w:pStyle w:val="ListBullet2"/>
      </w:pPr>
      <w:r w:rsidRPr="00EC0C73">
        <w:t>normal presentation</w:t>
      </w:r>
    </w:p>
    <w:p w:rsidR="00000000" w:rsidRPr="00EC0C73" w:rsidP="00EC0C73">
      <w:pPr>
        <w:pStyle w:val="ListBullet2"/>
      </w:pPr>
      <w:r w:rsidRPr="00EC0C73">
        <w:t>medical terminology and plain language usage for client explanations</w:t>
      </w:r>
    </w:p>
    <w:p w:rsidR="00000000" w:rsidRPr="00EC0C73" w:rsidP="00EC0C73">
      <w:pPr>
        <w:pStyle w:val="ListBullet"/>
      </w:pPr>
      <w:r w:rsidRPr="00EC0C73">
        <w:t xml:space="preserve">signs and symptoms of conjunctivitis and other commonly occurring eye infections, and available </w:t>
      </w:r>
      <w:r w:rsidRPr="00EC0C73">
        <w:t>treatment options</w:t>
      </w:r>
    </w:p>
    <w:p w:rsidR="00000000" w:rsidRPr="00EC0C73" w:rsidP="00EC0C73">
      <w:pPr>
        <w:pStyle w:val="ListBullet"/>
      </w:pPr>
      <w:r w:rsidRPr="00EC0C73">
        <w:t>first aid procedures and standard treatment protocols for treating corneal foreign bodies and minor ocular trauma:</w:t>
      </w:r>
    </w:p>
    <w:p w:rsidR="00000000" w:rsidRPr="00EC0C73" w:rsidP="00EC0C73">
      <w:pPr>
        <w:pStyle w:val="ListBullet2"/>
      </w:pPr>
      <w:r w:rsidRPr="00EC0C73">
        <w:t>wounds</w:t>
      </w:r>
    </w:p>
    <w:p w:rsidR="00000000" w:rsidRPr="00EC0C73" w:rsidP="00EC0C73">
      <w:pPr>
        <w:pStyle w:val="ListBullet2"/>
      </w:pPr>
      <w:r w:rsidRPr="00EC0C73">
        <w:t>objects in the eye</w:t>
      </w:r>
    </w:p>
    <w:p w:rsidR="00000000" w:rsidRPr="00EC0C73" w:rsidP="00EC0C73">
      <w:pPr>
        <w:pStyle w:val="ListBullet2"/>
      </w:pPr>
      <w:r w:rsidRPr="00EC0C73">
        <w:t>embedded object in the eye</w:t>
      </w:r>
    </w:p>
    <w:p w:rsidR="00000000" w:rsidRPr="00EC0C73" w:rsidP="00EC0C73">
      <w:pPr>
        <w:pStyle w:val="ListBullet2"/>
      </w:pPr>
      <w:r w:rsidRPr="00EC0C73">
        <w:t>penetrating object from the eye</w:t>
      </w:r>
    </w:p>
    <w:p w:rsidR="00000000" w:rsidRPr="00EC0C73" w:rsidP="00EC0C73">
      <w:pPr>
        <w:pStyle w:val="ListBullet2"/>
      </w:pPr>
      <w:r w:rsidRPr="00EC0C73">
        <w:t>burns</w:t>
      </w:r>
    </w:p>
    <w:p w:rsidR="00000000" w:rsidRPr="00EC0C73" w:rsidP="00EC0C73">
      <w:pPr>
        <w:pStyle w:val="ListBullet2"/>
      </w:pPr>
      <w:r w:rsidRPr="00EC0C73">
        <w:t>smoke</w:t>
      </w:r>
    </w:p>
    <w:p w:rsidR="00000000" w:rsidRPr="00EC0C73" w:rsidP="00EC0C73">
      <w:pPr>
        <w:pStyle w:val="ListBullet"/>
      </w:pPr>
      <w:r w:rsidRPr="00EC0C73">
        <w:t>main types of eye health</w:t>
      </w:r>
      <w:r w:rsidRPr="00EC0C73">
        <w:t xml:space="preserve"> conditions affecting Aboriginal and/or Torres Strait Islander people and how to recognise these:</w:t>
      </w:r>
    </w:p>
    <w:p w:rsidR="00000000" w:rsidRPr="00EC0C73" w:rsidP="00EC0C73">
      <w:pPr>
        <w:pStyle w:val="ListBullet2"/>
      </w:pPr>
      <w:r w:rsidRPr="00EC0C73">
        <w:t>refractive error</w:t>
      </w:r>
    </w:p>
    <w:p w:rsidR="00000000" w:rsidRPr="00EC0C73" w:rsidP="00EC0C73">
      <w:pPr>
        <w:pStyle w:val="ListBullet2"/>
      </w:pPr>
      <w:r w:rsidRPr="00EC0C73">
        <w:t>cataracts</w:t>
      </w:r>
    </w:p>
    <w:p w:rsidR="00000000" w:rsidRPr="00EC0C73" w:rsidP="00EC0C73">
      <w:pPr>
        <w:pStyle w:val="ListBullet2"/>
      </w:pPr>
      <w:r w:rsidRPr="00EC0C73">
        <w:t>diabetic retinopathy</w:t>
      </w:r>
    </w:p>
    <w:p w:rsidR="00000000" w:rsidRPr="00EC0C73" w:rsidP="00EC0C73">
      <w:pPr>
        <w:pStyle w:val="ListBullet2"/>
      </w:pPr>
      <w:r w:rsidRPr="00EC0C73">
        <w:t>trachoma at different stages of severity</w:t>
      </w:r>
    </w:p>
    <w:p w:rsidR="00000000" w:rsidRPr="00EC0C73" w:rsidP="00EC0C73">
      <w:pPr>
        <w:pStyle w:val="ListBullet2"/>
      </w:pPr>
      <w:r w:rsidRPr="00EC0C73">
        <w:t>trichiasis</w:t>
      </w:r>
    </w:p>
    <w:p w:rsidR="00000000" w:rsidRPr="00EC0C73" w:rsidP="00EC0C73">
      <w:pPr>
        <w:pStyle w:val="ListBullet2"/>
      </w:pPr>
      <w:r w:rsidRPr="00EC0C73">
        <w:t>macular degeneration</w:t>
      </w:r>
    </w:p>
    <w:p w:rsidR="00000000" w:rsidRPr="00EC0C73" w:rsidP="00EC0C73">
      <w:pPr>
        <w:pStyle w:val="ListBullet"/>
      </w:pPr>
      <w:r w:rsidRPr="00EC0C73">
        <w:t>complications of diseases which affect eye health and their impacts including complications from diabetes</w:t>
      </w:r>
    </w:p>
    <w:p w:rsidR="00000000" w:rsidRPr="00EC0C73" w:rsidP="00EC0C73">
      <w:pPr>
        <w:pStyle w:val="ListBullet"/>
      </w:pPr>
      <w:r w:rsidRPr="00EC0C73">
        <w:t>vision issues that occur in children and how to recognise these:</w:t>
      </w:r>
    </w:p>
    <w:p w:rsidR="00000000" w:rsidRPr="00EC0C73" w:rsidP="00EC0C73">
      <w:pPr>
        <w:pStyle w:val="ListBullet2"/>
      </w:pPr>
      <w:r w:rsidRPr="00EC0C73">
        <w:t>amblyopia</w:t>
      </w:r>
    </w:p>
    <w:p w:rsidR="00000000" w:rsidRPr="00EC0C73" w:rsidP="00EC0C73">
      <w:pPr>
        <w:pStyle w:val="ListBullet2"/>
      </w:pPr>
      <w:r w:rsidRPr="00EC0C73">
        <w:t>strabismus</w:t>
      </w:r>
    </w:p>
    <w:p w:rsidR="00000000" w:rsidRPr="00EC0C73" w:rsidP="00EC0C73">
      <w:pPr>
        <w:pStyle w:val="ListBullet"/>
      </w:pPr>
      <w:r w:rsidRPr="00EC0C73">
        <w:t>sight and eye health problems and emergencies requiring referr</w:t>
      </w:r>
      <w:r w:rsidRPr="00EC0C73">
        <w:t>al, assessment and treatment by medical or eye health specialists</w:t>
      </w:r>
    </w:p>
    <w:p w:rsidR="00000000" w:rsidRPr="00EC0C73" w:rsidP="00EC0C73">
      <w:pPr>
        <w:pStyle w:val="ListBullet"/>
      </w:pPr>
      <w:r w:rsidRPr="00EC0C73">
        <w:t>self-care preventative practices for eye health:</w:t>
      </w:r>
    </w:p>
    <w:p w:rsidR="00000000" w:rsidRPr="00EC0C73" w:rsidP="00EC0C73">
      <w:pPr>
        <w:pStyle w:val="ListBullet2"/>
      </w:pPr>
      <w:r w:rsidRPr="00EC0C73">
        <w:t>regular eye assessments</w:t>
      </w:r>
    </w:p>
    <w:p w:rsidR="00000000" w:rsidRPr="00EC0C73" w:rsidP="00EC0C73">
      <w:pPr>
        <w:pStyle w:val="ListBullet2"/>
      </w:pPr>
      <w:r w:rsidRPr="00EC0C73">
        <w:t>healthy eating</w:t>
      </w:r>
    </w:p>
    <w:p w:rsidR="00000000" w:rsidRPr="00EC0C73" w:rsidP="00EC0C73">
      <w:pPr>
        <w:pStyle w:val="ListBullet2"/>
      </w:pPr>
      <w:r w:rsidRPr="00EC0C73">
        <w:t>protection from sunlight</w:t>
      </w:r>
    </w:p>
    <w:p w:rsidR="00000000" w:rsidRPr="00EC0C73" w:rsidP="00EC0C73">
      <w:pPr>
        <w:pStyle w:val="ListBullet2"/>
      </w:pPr>
      <w:r w:rsidRPr="00EC0C73">
        <w:t>protection from injury</w:t>
      </w:r>
    </w:p>
    <w:p w:rsidR="00000000" w:rsidRPr="00EC0C73" w:rsidP="00EC0C73">
      <w:pPr>
        <w:pStyle w:val="ListBullet2"/>
      </w:pPr>
      <w:r w:rsidRPr="00EC0C73">
        <w:t>avoidance of smoking or other substance use</w:t>
      </w:r>
    </w:p>
    <w:p w:rsidR="00000000" w:rsidRPr="00EC0C73" w:rsidP="00EC0C73">
      <w:pPr>
        <w:pStyle w:val="ListBullet"/>
      </w:pPr>
      <w:r w:rsidRPr="00EC0C73">
        <w:t>processe</w:t>
      </w:r>
      <w:r w:rsidRPr="00EC0C73">
        <w:t>s and equipment used for minor spectacle adjustments and repairs</w:t>
      </w:r>
    </w:p>
    <w:p w:rsidR="00000000" w:rsidRPr="00EC0C73" w:rsidP="00EC0C73">
      <w:pPr>
        <w:pStyle w:val="ListBullet"/>
      </w:pPr>
      <w:r w:rsidRPr="00EC0C73">
        <w:t>types of practical support needed by clients to access specialist services:</w:t>
      </w:r>
    </w:p>
    <w:p w:rsidR="00000000" w:rsidRPr="00EC0C73" w:rsidP="00EC0C73">
      <w:pPr>
        <w:pStyle w:val="ListBullet2"/>
      </w:pPr>
      <w:r w:rsidRPr="00EC0C73">
        <w:t>accommodation</w:t>
      </w:r>
    </w:p>
    <w:p w:rsidR="00000000" w:rsidRPr="00EC0C73" w:rsidP="00EC0C73">
      <w:pPr>
        <w:pStyle w:val="ListBullet2"/>
      </w:pPr>
      <w:r w:rsidRPr="00EC0C73">
        <w:t>interpreter services</w:t>
      </w:r>
    </w:p>
    <w:p w:rsidR="00000000" w:rsidRPr="00EC0C73" w:rsidP="00EC0C73">
      <w:pPr>
        <w:pStyle w:val="ListBullet2"/>
      </w:pPr>
      <w:r w:rsidRPr="00EC0C73">
        <w:t>transport</w:t>
      </w:r>
    </w:p>
    <w:p w:rsidR="00000000" w:rsidRPr="00EC0C73" w:rsidP="00EC0C73">
      <w:pPr>
        <w:pStyle w:val="ListBullet2"/>
      </w:pPr>
      <w:r w:rsidRPr="00EC0C73">
        <w:t>special assistance for those with low vision</w:t>
      </w:r>
    </w:p>
    <w:p w:rsidR="00000000" w:rsidRPr="00EC0C73" w:rsidP="00EC0C73">
      <w:pPr>
        <w:pStyle w:val="ListBullet"/>
      </w:pPr>
      <w:r w:rsidRPr="00EC0C73">
        <w:t>eye health resources and support services available in the community, state or territory:</w:t>
      </w:r>
    </w:p>
    <w:p w:rsidR="00000000" w:rsidRPr="00EC0C73" w:rsidP="00EC0C73">
      <w:pPr>
        <w:pStyle w:val="ListBullet2"/>
      </w:pPr>
      <w:r w:rsidRPr="00EC0C73">
        <w:t>for eye health in general and eye health conditions</w:t>
      </w:r>
    </w:p>
    <w:p w:rsidR="00000000" w:rsidRPr="00EC0C73" w:rsidP="00EC0C73">
      <w:pPr>
        <w:pStyle w:val="ListBullet2"/>
      </w:pPr>
      <w:r w:rsidRPr="00EC0C73">
        <w:t>specialist services available to people of different genders and ages, and to Aboriginal and/or Torres Strait Isl</w:t>
      </w:r>
      <w:r w:rsidRPr="00EC0C73">
        <w:t>ander people</w:t>
      </w:r>
    </w:p>
    <w:p w:rsidR="00000000" w:rsidRPr="00EC0C73" w:rsidP="00EC0C73">
      <w:pPr>
        <w:pStyle w:val="ListBullet2"/>
      </w:pPr>
      <w:r w:rsidRPr="00EC0C73">
        <w:t>how to access information about the types of information resources and services they offer</w:t>
      </w:r>
    </w:p>
    <w:p w:rsidR="00000000" w:rsidRPr="00EC0C73" w:rsidP="00EC0C73">
      <w:pPr>
        <w:pStyle w:val="ListBullet2"/>
      </w:pPr>
      <w:r w:rsidRPr="00EC0C73">
        <w:t>how clients can access services and the role of health workers and practitioners in facilitating access.</w:t>
      </w:r>
    </w:p>
    <w:p w:rsidR="00000000" w:rsidRPr="00EC0C73" w:rsidP="00EC0C73">
      <w:pPr>
        <w:pStyle w:val="AllowPageBreak"/>
      </w:pPr>
    </w:p>
    <w:p w:rsidR="00000000" w:rsidRPr="00EC0C73" w:rsidP="00EC0C73">
      <w:pPr>
        <w:pStyle w:val="Heading1"/>
      </w:pPr>
      <w:bookmarkStart w:id="4" w:name="O_1278335"/>
      <w:bookmarkEnd w:id="4"/>
      <w:r w:rsidRPr="00EC0C73">
        <w:t>Assessment Conditions</w:t>
      </w:r>
    </w:p>
    <w:p w:rsidR="00000000" w:rsidRPr="00EC0C73" w:rsidP="00C23FE3">
      <w:pPr>
        <w:pStyle w:val="BodyText"/>
      </w:pPr>
      <w:r w:rsidRPr="00EC0C73">
        <w:t>Skills</w:t>
      </w:r>
      <w:r w:rsidRPr="00EC0C73">
        <w:t xml:space="preserve"> must be demonstrated in a health service workplace within a multidisciplinary primary health care team.</w:t>
      </w:r>
    </w:p>
    <w:p w:rsidR="00000000" w:rsidRPr="00EC0C73" w:rsidP="00C23FE3">
      <w:pPr>
        <w:pStyle w:val="BodyText"/>
      </w:pPr>
      <w:r w:rsidRPr="00EC0C73">
        <w:t>Evidence of performance must be gathered:</w:t>
      </w:r>
    </w:p>
    <w:p w:rsidR="00000000" w:rsidRPr="00EC0C73" w:rsidP="00EC0C73">
      <w:pPr>
        <w:pStyle w:val="ListBullet"/>
      </w:pPr>
      <w:r w:rsidRPr="00EC0C73">
        <w:t>during on-the-job assessments in the workplace under live conditions while interacting with Aboriginal and/o</w:t>
      </w:r>
      <w:r w:rsidRPr="00EC0C73">
        <w:t>r Torres Strait Islander people, or</w:t>
      </w:r>
    </w:p>
    <w:p w:rsidR="00000000" w:rsidRPr="00EC0C73" w:rsidP="00EC0C73">
      <w:pPr>
        <w:pStyle w:val="ListBullet"/>
      </w:pPr>
      <w:r w:rsidRPr="00EC0C73">
        <w:t>during off-the-job assessments in the workplace, not under live conditions, using simulated activities while interacting with Aboriginal and/or Torres Strait Islander people.</w:t>
      </w:r>
    </w:p>
    <w:p w:rsidR="00000000" w:rsidRPr="00EC0C73" w:rsidP="00C23FE3">
      <w:pPr>
        <w:pStyle w:val="BodyText"/>
      </w:pPr>
      <w:r w:rsidRPr="00EC0C73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EC0C73" w:rsidP="00C23FE3">
      <w:pPr>
        <w:pStyle w:val="BodyText"/>
      </w:pPr>
      <w:r w:rsidRPr="00EC0C73">
        <w:t>Evidence can be supplemented by assessments in a simulated w</w:t>
      </w:r>
      <w:r w:rsidRPr="00EC0C73">
        <w:t>orkplace environment using simulated activities, scenarios or case studies only when:</w:t>
      </w:r>
    </w:p>
    <w:p w:rsidR="00000000" w:rsidRPr="00EC0C73" w:rsidP="00EC0C73">
      <w:pPr>
        <w:pStyle w:val="ListBullet"/>
      </w:pPr>
      <w:r w:rsidRPr="00EC0C73">
        <w:t>the full range of situations covered by the unit cannot be provided in the individual’s workplace, or</w:t>
      </w:r>
    </w:p>
    <w:p w:rsidR="00000000" w:rsidRPr="00EC0C73" w:rsidP="00EC0C73">
      <w:pPr>
        <w:pStyle w:val="ListBullet"/>
      </w:pPr>
      <w:r w:rsidRPr="00EC0C73">
        <w:t>situations covered by the unit occur only rarely in the individual’</w:t>
      </w:r>
      <w:r w:rsidRPr="00EC0C73">
        <w:t>s workplace.</w:t>
      </w:r>
    </w:p>
    <w:p w:rsidR="00000000" w:rsidRPr="00EC0C73" w:rsidP="00C23FE3">
      <w:pPr>
        <w:pStyle w:val="BodyText"/>
      </w:pPr>
      <w:r w:rsidRPr="00EC0C73">
        <w:t>Assessment must ensure the use of:</w:t>
      </w:r>
    </w:p>
    <w:p w:rsidR="00000000" w:rsidRPr="00EC0C73" w:rsidP="00EC0C73">
      <w:pPr>
        <w:pStyle w:val="ListBullet"/>
      </w:pPr>
      <w:r w:rsidRPr="00EC0C73">
        <w:t>personal protective equipment for infection control</w:t>
      </w:r>
    </w:p>
    <w:p w:rsidR="00000000" w:rsidRPr="00EC0C73" w:rsidP="00EC0C73">
      <w:pPr>
        <w:pStyle w:val="ListBullet"/>
      </w:pPr>
      <w:r w:rsidRPr="00EC0C73">
        <w:t>equipment and consumables used for eye health assessments and treatments:</w:t>
      </w:r>
    </w:p>
    <w:p w:rsidR="00000000" w:rsidRPr="00EC0C73" w:rsidP="00EC0C73">
      <w:pPr>
        <w:pStyle w:val="ListBullet2"/>
      </w:pPr>
      <w:r w:rsidRPr="00EC0C73">
        <w:t>lighting aids</w:t>
      </w:r>
    </w:p>
    <w:p w:rsidR="00000000" w:rsidRPr="00EC0C73" w:rsidP="00EC0C73">
      <w:pPr>
        <w:pStyle w:val="ListBullet2"/>
      </w:pPr>
      <w:r w:rsidRPr="00EC0C73">
        <w:t>Snellen Wall Chart or technological equivalent</w:t>
      </w:r>
    </w:p>
    <w:p w:rsidR="00000000" w:rsidRPr="00EC0C73" w:rsidP="00EC0C73">
      <w:pPr>
        <w:pStyle w:val="ListBullet2"/>
      </w:pPr>
      <w:r w:rsidRPr="00EC0C73">
        <w:t>retinal camera</w:t>
      </w:r>
    </w:p>
    <w:p w:rsidR="00000000" w:rsidRPr="00EC0C73" w:rsidP="00EC0C73">
      <w:pPr>
        <w:pStyle w:val="ListBullet2"/>
      </w:pPr>
      <w:r w:rsidRPr="00EC0C73">
        <w:t xml:space="preserve">eye </w:t>
      </w:r>
      <w:r w:rsidRPr="00EC0C73">
        <w:t>drops</w:t>
      </w:r>
    </w:p>
    <w:p w:rsidR="00000000" w:rsidRPr="00EC0C73" w:rsidP="00EC0C73">
      <w:pPr>
        <w:pStyle w:val="ListBullet2"/>
      </w:pPr>
      <w:r w:rsidRPr="00EC0C73">
        <w:t>eye ointment</w:t>
      </w:r>
    </w:p>
    <w:p w:rsidR="00000000" w:rsidRPr="00EC0C73" w:rsidP="00EC0C73">
      <w:pPr>
        <w:pStyle w:val="ListBullet2"/>
      </w:pPr>
      <w:r w:rsidRPr="00EC0C73">
        <w:t>eye patches or shields</w:t>
      </w:r>
    </w:p>
    <w:p w:rsidR="00000000" w:rsidRPr="00EC0C73" w:rsidP="00EC0C73">
      <w:pPr>
        <w:pStyle w:val="ListBullet2"/>
      </w:pPr>
      <w:r w:rsidRPr="00EC0C73">
        <w:t>clinical waste disposal bins</w:t>
      </w:r>
    </w:p>
    <w:p w:rsidR="00000000" w:rsidRPr="00EC0C73" w:rsidP="00EC0C73">
      <w:pPr>
        <w:pStyle w:val="ListBullet"/>
      </w:pPr>
      <w:r w:rsidRPr="00EC0C73">
        <w:t>visual aids, which can include an eye model, to assist with client explanations</w:t>
      </w:r>
    </w:p>
    <w:p w:rsidR="00000000" w:rsidRPr="00EC0C73" w:rsidP="00EC0C73">
      <w:pPr>
        <w:pStyle w:val="ListBullet"/>
      </w:pPr>
      <w:r w:rsidRPr="00EC0C73">
        <w:t>template forms or reports for documenting client histories, assessment details and findings</w:t>
      </w:r>
    </w:p>
    <w:p w:rsidR="00000000" w:rsidRPr="00EC0C73" w:rsidP="00EC0C73">
      <w:pPr>
        <w:pStyle w:val="ListBullet"/>
      </w:pPr>
      <w:r w:rsidRPr="00EC0C73">
        <w:t>eye care first aid procedures and standard treatment protocols used by the organisation, which can include Standard Treatment Manuals</w:t>
      </w:r>
    </w:p>
    <w:p w:rsidR="00000000" w:rsidRPr="00EC0C73" w:rsidP="00EC0C73">
      <w:pPr>
        <w:pStyle w:val="ListBullet"/>
      </w:pPr>
      <w:r w:rsidRPr="00EC0C73">
        <w:t>organisational policies and procedures for:</w:t>
      </w:r>
    </w:p>
    <w:p w:rsidR="00000000" w:rsidRPr="00EC0C73" w:rsidP="00EC0C73">
      <w:pPr>
        <w:pStyle w:val="ListBullet2"/>
      </w:pPr>
      <w:r w:rsidRPr="00EC0C73">
        <w:t>maintaining eye health records</w:t>
      </w:r>
    </w:p>
    <w:p w:rsidR="00000000" w:rsidRPr="00EC0C73" w:rsidP="00EC0C73">
      <w:pPr>
        <w:pStyle w:val="ListBullet2"/>
      </w:pPr>
      <w:r w:rsidRPr="00EC0C73">
        <w:t>maintaining confidentiality of client informat</w:t>
      </w:r>
      <w:r w:rsidRPr="00EC0C73">
        <w:t>ion.</w:t>
      </w:r>
    </w:p>
    <w:p w:rsidR="00000000" w:rsidRPr="00EC0C73" w:rsidP="00C23FE3">
      <w:pPr>
        <w:pStyle w:val="BodyText"/>
      </w:pPr>
      <w:r w:rsidRPr="00EC0C73">
        <w:t>Assessors must satisfy the Standards for Registered Training Organisations requirements for assessors, and:</w:t>
      </w:r>
    </w:p>
    <w:p w:rsidR="00000000" w:rsidRPr="00EC0C73" w:rsidP="00EC0C73">
      <w:pPr>
        <w:pStyle w:val="ListBullet"/>
      </w:pPr>
      <w:r w:rsidRPr="00EC0C73">
        <w:t>be an Aboriginal and/or Torres Strait Islander person who has applied the skills and knowledge covered in this unit of competency through expe</w:t>
      </w:r>
      <w:r w:rsidRPr="00EC0C73">
        <w:t>rience working as an Aboriginal and/or Torres Strait Islander health worker or practitioner, or</w:t>
      </w:r>
    </w:p>
    <w:p w:rsidR="00000000" w:rsidRPr="00EC0C73" w:rsidP="00EC0C73">
      <w:pPr>
        <w:pStyle w:val="ListBullet"/>
      </w:pPr>
      <w:r w:rsidRPr="00EC0C73">
        <w:t>be a registered health practitioner with experience relevant to this unit of competency and be accompanied by, or have assessments validated by, an Aboriginal a</w:t>
      </w:r>
      <w:r w:rsidRPr="00EC0C73">
        <w:t>nd/or Torres Strait Islander person.</w:t>
      </w:r>
    </w:p>
    <w:p w:rsidR="00000000" w:rsidRPr="00EC0C73" w:rsidP="00EC0C73">
      <w:pPr>
        <w:pStyle w:val="AllowPageBreak"/>
      </w:pPr>
    </w:p>
    <w:p w:rsidR="00000000" w:rsidRPr="00EC0C73" w:rsidP="00EC0C73">
      <w:pPr>
        <w:pStyle w:val="Heading1"/>
      </w:pPr>
      <w:bookmarkStart w:id="5" w:name="O_1278338"/>
      <w:bookmarkEnd w:id="5"/>
      <w:r w:rsidRPr="00EC0C73">
        <w:t>Links</w:t>
      </w:r>
    </w:p>
    <w:p w:rsidR="00000000" w:rsidRPr="00EC0C73" w:rsidP="00C23FE3">
      <w:pPr>
        <w:pStyle w:val="BodyText"/>
      </w:pPr>
      <w:r w:rsidRPr="00EC0C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00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C0C73" w:rsidP="00EC0C73"/>
    <w:sectPr w:rsidSect="00EC0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73" w:rsidRPr="00C23FE3" w:rsidP="00C23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E3" w:rsidP="00EC0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FE3" w:rsidP="00EC0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3FE3" w:rsidP="00EC0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C73" w:rsidRPr="00C23FE3" w:rsidP="00C23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E3" w:rsidRPr="002D2AF8" w:rsidP="00EC0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HLTAHCS013 Provide eye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23FE3" w:rsidP="00EC0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4B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AAB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24F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C73"/>
  </w:style>
  <w:style w:type="character" w:customStyle="1" w:styleId="Heading1Char">
    <w:name w:val="Heading 1 Char"/>
    <w:basedOn w:val="DefaultParagraphFont"/>
    <w:link w:val="Heading1"/>
    <w:rsid w:val="00EC0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C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C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C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C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C73"/>
    <w:rPr>
      <w:b/>
      <w:spacing w:val="0"/>
    </w:rPr>
  </w:style>
  <w:style w:type="paragraph" w:customStyle="1" w:styleId="SuperTitle">
    <w:name w:val="SuperTitle"/>
    <w:basedOn w:val="Title"/>
    <w:rsid w:val="00EC0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C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C73"/>
    <w:rPr>
      <w:i/>
    </w:rPr>
  </w:style>
  <w:style w:type="paragraph" w:styleId="Caption">
    <w:name w:val="caption"/>
    <w:basedOn w:val="BodyText"/>
    <w:next w:val="Normal"/>
    <w:qFormat/>
    <w:rsid w:val="00EC0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C73"/>
  </w:style>
  <w:style w:type="paragraph" w:styleId="TableofFigures">
    <w:name w:val="table of figures"/>
    <w:basedOn w:val="Normal"/>
    <w:next w:val="Normal"/>
    <w:semiHidden/>
    <w:rsid w:val="00EC0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C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C73"/>
    <w:rPr>
      <w:rFonts w:ascii="Wingdings" w:hAnsi="Wingdings"/>
    </w:rPr>
  </w:style>
  <w:style w:type="paragraph" w:customStyle="1" w:styleId="TableHeading">
    <w:name w:val="Table Heading"/>
    <w:basedOn w:val="HeadingBase"/>
    <w:rsid w:val="00EC0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C73"/>
    <w:rPr>
      <w:color w:val="0033CC"/>
      <w:u w:val="none"/>
    </w:rPr>
  </w:style>
  <w:style w:type="paragraph" w:customStyle="1" w:styleId="BodyTextRight">
    <w:name w:val="Body Text Right"/>
    <w:basedOn w:val="BodyText"/>
    <w:rsid w:val="00EC0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C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C73"/>
    <w:rPr>
      <w:sz w:val="32"/>
    </w:rPr>
  </w:style>
  <w:style w:type="paragraph" w:customStyle="1" w:styleId="HeadingProcedure">
    <w:name w:val="Heading Procedure"/>
    <w:basedOn w:val="HeadingBase"/>
    <w:next w:val="Normal"/>
    <w:rsid w:val="00EC0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C73"/>
    <w:pPr>
      <w:spacing w:before="60" w:after="60"/>
    </w:pPr>
  </w:style>
  <w:style w:type="paragraph" w:styleId="ListContinue">
    <w:name w:val="List Continue"/>
    <w:basedOn w:val="List"/>
    <w:rsid w:val="00EC0C73"/>
    <w:pPr>
      <w:ind w:firstLine="0"/>
    </w:pPr>
  </w:style>
  <w:style w:type="paragraph" w:customStyle="1" w:styleId="ListNote">
    <w:name w:val="List Note"/>
    <w:basedOn w:val="List"/>
    <w:rsid w:val="00EC0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C73"/>
    <w:rPr>
      <w:rFonts w:ascii="Courier New" w:hAnsi="Courier New"/>
    </w:rPr>
  </w:style>
  <w:style w:type="paragraph" w:customStyle="1" w:styleId="NoteBullet">
    <w:name w:val="Note Bullet"/>
    <w:basedOn w:val="Note"/>
    <w:rsid w:val="00EC0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C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C73"/>
    <w:rPr>
      <w:b/>
      <w:smallCaps/>
    </w:rPr>
  </w:style>
  <w:style w:type="paragraph" w:customStyle="1" w:styleId="TableListNumber">
    <w:name w:val="Table List Number"/>
    <w:basedOn w:val="ListNumber"/>
    <w:rsid w:val="00EC0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C73"/>
    <w:pPr>
      <w:numPr>
        <w:numId w:val="9"/>
      </w:numPr>
    </w:pPr>
  </w:style>
  <w:style w:type="paragraph" w:customStyle="1" w:styleId="ListAlpha2">
    <w:name w:val="List Alpha 2"/>
    <w:basedOn w:val="List2"/>
    <w:rsid w:val="00EC0C73"/>
    <w:pPr>
      <w:numPr>
        <w:numId w:val="8"/>
      </w:numPr>
    </w:pPr>
  </w:style>
  <w:style w:type="paragraph" w:styleId="List2">
    <w:name w:val="List 2"/>
    <w:basedOn w:val="BodyText"/>
    <w:rsid w:val="00EC0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C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C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C73"/>
    <w:pPr>
      <w:numPr>
        <w:numId w:val="4"/>
      </w:numPr>
    </w:pPr>
  </w:style>
  <w:style w:type="paragraph" w:styleId="ListContinue2">
    <w:name w:val="List Continue 2"/>
    <w:basedOn w:val="List2"/>
    <w:rsid w:val="00EC0C73"/>
    <w:pPr>
      <w:ind w:firstLine="0"/>
    </w:pPr>
  </w:style>
  <w:style w:type="paragraph" w:styleId="ListContinue3">
    <w:name w:val="List Continue 3"/>
    <w:basedOn w:val="List3"/>
    <w:rsid w:val="00EC0C73"/>
    <w:pPr>
      <w:ind w:left="1021" w:firstLine="0"/>
    </w:pPr>
  </w:style>
  <w:style w:type="paragraph" w:styleId="ListContinue4">
    <w:name w:val="List Continue 4"/>
    <w:basedOn w:val="List4"/>
    <w:rsid w:val="00EC0C73"/>
    <w:pPr>
      <w:ind w:firstLine="0"/>
    </w:pPr>
  </w:style>
  <w:style w:type="paragraph" w:styleId="ListContinue5">
    <w:name w:val="List Continue 5"/>
    <w:basedOn w:val="List5"/>
    <w:rsid w:val="00EC0C73"/>
    <w:pPr>
      <w:ind w:firstLine="0"/>
    </w:pPr>
  </w:style>
  <w:style w:type="paragraph" w:styleId="ListNumber3">
    <w:name w:val="List Number 3"/>
    <w:basedOn w:val="List3"/>
    <w:rsid w:val="00EC0C73"/>
    <w:pPr>
      <w:numPr>
        <w:numId w:val="5"/>
      </w:numPr>
    </w:pPr>
  </w:style>
  <w:style w:type="paragraph" w:styleId="ListNumber4">
    <w:name w:val="List Number 4"/>
    <w:basedOn w:val="List4"/>
    <w:rsid w:val="00EC0C73"/>
    <w:pPr>
      <w:numPr>
        <w:numId w:val="6"/>
      </w:numPr>
    </w:pPr>
  </w:style>
  <w:style w:type="paragraph" w:styleId="ListNumber5">
    <w:name w:val="List Number 5"/>
    <w:basedOn w:val="List5"/>
    <w:rsid w:val="00EC0C73"/>
    <w:pPr>
      <w:numPr>
        <w:numId w:val="7"/>
      </w:numPr>
    </w:pPr>
  </w:style>
  <w:style w:type="paragraph" w:styleId="BlockText">
    <w:name w:val="Block Text"/>
    <w:basedOn w:val="Normal"/>
    <w:rsid w:val="00EC0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C73"/>
    <w:rPr>
      <w:sz w:val="16"/>
      <w:vertAlign w:val="superscript"/>
    </w:rPr>
  </w:style>
  <w:style w:type="character" w:customStyle="1" w:styleId="Symbols">
    <w:name w:val="Symbols"/>
    <w:basedOn w:val="DefaultParagraphFont"/>
    <w:rsid w:val="00EC0C73"/>
    <w:rPr>
      <w:rFonts w:ascii="Symbol" w:hAnsi="Symbol"/>
    </w:rPr>
  </w:style>
  <w:style w:type="character" w:customStyle="1" w:styleId="MenuOptions">
    <w:name w:val="Menu Options"/>
    <w:basedOn w:val="DefaultParagraphFont"/>
    <w:rsid w:val="00EC0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C73"/>
    <w:rPr>
      <w:b/>
    </w:rPr>
  </w:style>
  <w:style w:type="character" w:customStyle="1" w:styleId="Underlined">
    <w:name w:val="Underlined"/>
    <w:basedOn w:val="DefaultParagraphFont"/>
    <w:rsid w:val="00EC0C73"/>
    <w:rPr>
      <w:u w:val="single"/>
    </w:rPr>
  </w:style>
  <w:style w:type="paragraph" w:customStyle="1" w:styleId="TableBodyTextRight">
    <w:name w:val="Table Body Text Right"/>
    <w:basedOn w:val="TableBodyText"/>
    <w:rsid w:val="00EC0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C73"/>
    <w:rPr>
      <w:sz w:val="18"/>
    </w:rPr>
  </w:style>
  <w:style w:type="paragraph" w:customStyle="1" w:styleId="BodySmallRight">
    <w:name w:val="Body Small Right"/>
    <w:basedOn w:val="BodyTextRight"/>
    <w:rsid w:val="00EC0C73"/>
    <w:rPr>
      <w:sz w:val="18"/>
      <w:szCs w:val="18"/>
    </w:rPr>
  </w:style>
  <w:style w:type="paragraph" w:customStyle="1" w:styleId="MarginEdition">
    <w:name w:val="Margin Edition"/>
    <w:basedOn w:val="MarginNote"/>
    <w:rsid w:val="00EC0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C73"/>
    <w:rPr>
      <w:sz w:val="2"/>
      <w:szCs w:val="2"/>
    </w:rPr>
  </w:style>
  <w:style w:type="character" w:customStyle="1" w:styleId="Small">
    <w:name w:val="Small"/>
    <w:basedOn w:val="DefaultParagraphFont"/>
    <w:rsid w:val="00EC0C73"/>
    <w:rPr>
      <w:sz w:val="16"/>
    </w:rPr>
  </w:style>
  <w:style w:type="paragraph" w:customStyle="1" w:styleId="WideTable">
    <w:name w:val="Wide Table"/>
    <w:basedOn w:val="Normal"/>
    <w:rsid w:val="00EC0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C73"/>
  </w:style>
  <w:style w:type="paragraph" w:styleId="Quote">
    <w:name w:val="Quote"/>
    <w:basedOn w:val="Heading1"/>
    <w:link w:val="QuoteChar"/>
    <w:qFormat/>
    <w:rsid w:val="00EC0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C73"/>
    <w:pPr>
      <w:pageBreakBefore/>
    </w:pPr>
  </w:style>
  <w:style w:type="paragraph" w:customStyle="1" w:styleId="Border">
    <w:name w:val="Border"/>
    <w:basedOn w:val="Normal"/>
    <w:qFormat/>
    <w:rsid w:val="00EC0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C73"/>
    <w:rPr>
      <w:u w:val="single"/>
    </w:rPr>
  </w:style>
  <w:style w:type="character" w:customStyle="1" w:styleId="BoldandItalics">
    <w:name w:val="Bold and Italics"/>
    <w:qFormat/>
    <w:rsid w:val="00EC0C73"/>
    <w:rPr>
      <w:b/>
      <w:i/>
      <w:u w:val="none"/>
    </w:rPr>
  </w:style>
  <w:style w:type="paragraph" w:styleId="BalloonText">
    <w:name w:val="Balloon Text"/>
    <w:basedOn w:val="Normal"/>
    <w:link w:val="BalloonTextChar"/>
    <w:rsid w:val="00EC0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C73"/>
    <w:pPr>
      <w:spacing w:before="0" w:after="0"/>
    </w:pPr>
  </w:style>
  <w:style w:type="paragraph" w:customStyle="1" w:styleId="BodyTextBold">
    <w:name w:val="Body Text Bold"/>
    <w:basedOn w:val="BodyText"/>
    <w:qFormat/>
    <w:rsid w:val="00EC0C73"/>
    <w:rPr>
      <w:b/>
    </w:rPr>
  </w:style>
  <w:style w:type="character" w:styleId="Hyperlink">
    <w:name w:val="Hyperlink"/>
    <w:basedOn w:val="DefaultParagraphFont"/>
    <w:uiPriority w:val="99"/>
    <w:unhideWhenUsed/>
    <w:rsid w:val="00C23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6039</Characters>
  <Application>Microsoft Office Word</Application>
  <DocSecurity>0</DocSecurity>
  <Lines>154</Lines>
  <Paragraphs>129</Paragraphs>
  <ScaleCrop>false</ScaleCrop>
  <Company>Author-it Software Corporation Ltd.</Company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HLTAHCS013 Provide eye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