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752" w:rsidP="00147752">
      <w:pPr>
        <w:pStyle w:val="Title"/>
      </w:pPr>
      <w:r>
        <w:fldChar w:fldCharType="begin"/>
      </w:r>
      <w:r>
        <w:instrText xml:space="preserve"> TITLE   \* MERGEFORMAT </w:instrText>
      </w:r>
      <w:r>
        <w:fldChar w:fldCharType="separate"/>
      </w:r>
      <w:r>
        <w:t>HLTAHCS012 Provide support to older clients</w:t>
      </w:r>
      <w:r>
        <w:fldChar w:fldCharType="end"/>
      </w:r>
    </w:p>
    <w:p w:rsidR="00147752" w:rsidP="00147752">
      <w:pPr>
        <w:pStyle w:val="Version"/>
        <w:sectPr w:rsidSect="00CC3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19E" w:rsidP="00CC319E">
      <w:pPr>
        <w:pStyle w:val="SuperHeading"/>
      </w:pPr>
      <w:r w:rsidRPr="00CC319E">
        <w:t>HLTAHCS012 Provide support to older clients</w:t>
      </w:r>
    </w:p>
    <w:p w:rsidR="00000000" w:rsidRPr="00CC319E" w:rsidP="00CC319E">
      <w:pPr>
        <w:pStyle w:val="Heading1"/>
      </w:pPr>
      <w:bookmarkStart w:id="1" w:name="O_1278265"/>
      <w:bookmarkEnd w:id="1"/>
      <w:r w:rsidRPr="00CC319E">
        <w:t>Modification History</w:t>
      </w:r>
    </w:p>
    <w:p w:rsidR="00000000" w:rsidRPr="00CC319E" w:rsidP="00147752">
      <w:pPr>
        <w:pStyle w:val="BodyText"/>
      </w:pPr>
      <w:r w:rsidRPr="00CC319E">
        <w:t>Not applicable.</w:t>
      </w:r>
    </w:p>
    <w:p w:rsidR="00000000" w:rsidRPr="00CC319E" w:rsidP="00CC319E">
      <w:pPr>
        <w:pStyle w:val="Heading1"/>
      </w:pPr>
      <w:bookmarkStart w:id="2" w:name="O_1278266"/>
      <w:bookmarkEnd w:id="2"/>
      <w:r w:rsidRPr="00CC319E">
        <w:t>Application</w:t>
      </w:r>
    </w:p>
    <w:p w:rsidR="00000000" w:rsidRPr="00CC319E" w:rsidP="00147752">
      <w:pPr>
        <w:pStyle w:val="BodyText"/>
      </w:pPr>
      <w:r w:rsidRPr="00CC319E">
        <w:t>This unit describes the performance outcomes, skills and knowledge required to establish positive relationships with older people in Aboriginal and/or Torres Strait Islander commu</w:t>
      </w:r>
      <w:r w:rsidRPr="00CC319E">
        <w:t>nities and support their general health and wellbeing. It includes the requirement to identify ‘at risk’ situations for older people. In the Australian health system, older Aboriginal and/or Torres Strait Islander people are usually defined as those over 5</w:t>
      </w:r>
      <w:r w:rsidRPr="00CC319E">
        <w:t>5 years of age. However, individuals could be significantly older.</w:t>
      </w:r>
    </w:p>
    <w:p w:rsidR="00000000" w:rsidRPr="00CC319E" w:rsidP="00147752">
      <w:pPr>
        <w:pStyle w:val="BodyText"/>
      </w:pPr>
      <w:r w:rsidRPr="00CC319E">
        <w:t>Older people may be living at home, in residential aged-care facilities, or in community organisations providing health care specifically for the Aboriginal and/or Torres Strait Islander co</w:t>
      </w:r>
      <w:r w:rsidRPr="00CC319E">
        <w:t>mmunity.</w:t>
      </w:r>
    </w:p>
    <w:p w:rsidR="00000000" w:rsidRPr="00CC319E" w:rsidP="00147752">
      <w:pPr>
        <w:pStyle w:val="BodyText"/>
      </w:pPr>
      <w:r w:rsidRPr="00CC319E">
        <w:t>The unit does not cover the skills needed for dedicated work roles in aged care or home and community care. Those skills are addressed in individual care units in the Community Services Training Package.</w:t>
      </w:r>
    </w:p>
    <w:p w:rsidR="00000000" w:rsidRPr="00CC319E" w:rsidP="00147752">
      <w:pPr>
        <w:pStyle w:val="BodyText"/>
      </w:pPr>
      <w:r w:rsidRPr="00CC319E">
        <w:t xml:space="preserve">This unit is specific to Aboriginal and/or </w:t>
      </w:r>
      <w:r w:rsidRPr="00CC319E">
        <w:t>Torres Strait Islander people working as health workers or health practitioners. They work as part of a multidisciplinary primary health care team to provide primary health care services to Aboriginal and/or Torres Strait Islander clients and communities.</w:t>
      </w:r>
    </w:p>
    <w:p w:rsidR="00000000" w:rsidRPr="00CC319E" w:rsidP="00147752">
      <w:pPr>
        <w:pStyle w:val="BodyText"/>
      </w:pPr>
      <w:r w:rsidRPr="00CC319E">
        <w:t>The skills in this unit must be applied in accordance with Commonwealth and State or Territory legislation, Australian standards and industry codes of practice.</w:t>
      </w:r>
    </w:p>
    <w:p w:rsidR="00000000" w:rsidRPr="00CC319E" w:rsidP="00147752">
      <w:pPr>
        <w:pStyle w:val="BodyText"/>
      </w:pPr>
      <w:r w:rsidRPr="00CC319E">
        <w:t>No regulatory requirement for certification, occupational or business licensing is linked to th</w:t>
      </w:r>
      <w:r w:rsidRPr="00CC319E">
        <w:t>is unit at the time of publication. For information about practitioner registration and accredited courses of study, contact the Aboriginal and Torres Strait Islander Health Practice Board of Australia (ATSIHPBA).</w:t>
      </w:r>
    </w:p>
    <w:p w:rsidR="00000000" w:rsidRPr="00CC319E" w:rsidP="00CC319E">
      <w:pPr>
        <w:pStyle w:val="Heading1"/>
      </w:pPr>
      <w:bookmarkStart w:id="3" w:name="O_1278267"/>
      <w:bookmarkEnd w:id="3"/>
      <w:r w:rsidRPr="00CC319E">
        <w:t>Pre-requisite Unit</w:t>
      </w:r>
    </w:p>
    <w:p w:rsidR="00000000" w:rsidRPr="00CC319E" w:rsidP="00147752">
      <w:pPr>
        <w:pStyle w:val="BodyText"/>
      </w:pPr>
      <w:r w:rsidRPr="00CC319E">
        <w:t>Nil</w:t>
      </w:r>
    </w:p>
    <w:p w:rsidR="00000000" w:rsidRPr="00CC319E" w:rsidP="00CC319E">
      <w:pPr>
        <w:pStyle w:val="Heading1"/>
      </w:pPr>
      <w:bookmarkStart w:id="4" w:name="O_1278268"/>
      <w:bookmarkEnd w:id="4"/>
      <w:r w:rsidRPr="00CC319E">
        <w:t>Competency Field</w:t>
      </w:r>
    </w:p>
    <w:p w:rsidR="00000000" w:rsidRPr="00CC319E" w:rsidP="00147752">
      <w:pPr>
        <w:pStyle w:val="BodyText"/>
      </w:pPr>
      <w:r w:rsidRPr="00CC319E">
        <w:t>Health Care and Support</w:t>
      </w:r>
    </w:p>
    <w:p w:rsidR="00000000" w:rsidRPr="00CC319E" w:rsidP="00CC319E">
      <w:pPr>
        <w:pStyle w:val="Heading1"/>
      </w:pPr>
      <w:bookmarkStart w:id="5" w:name="O_1278269"/>
      <w:bookmarkEnd w:id="5"/>
      <w:r w:rsidRPr="00CC319E">
        <w:t>Unit Sector</w:t>
      </w:r>
    </w:p>
    <w:p w:rsidR="00000000" w:rsidRPr="00CC319E" w:rsidP="00147752">
      <w:pPr>
        <w:pStyle w:val="BodyText"/>
      </w:pPr>
      <w:r w:rsidRPr="00CC319E">
        <w:t>Aboriginal and/or Torres Strait Islander Health</w:t>
      </w:r>
    </w:p>
    <w:p w:rsidR="00000000" w:rsidRPr="00CC319E" w:rsidP="00CC319E">
      <w:pPr>
        <w:pStyle w:val="Heading1"/>
      </w:pPr>
      <w:bookmarkStart w:id="6" w:name="O_1278270"/>
      <w:bookmarkEnd w:id="6"/>
      <w:r w:rsidRPr="00CC319E">
        <w:t>Elements and Performance Criteria</w:t>
      </w:r>
    </w:p>
    <w:tbl>
      <w:tblPr>
        <w:tblW w:w="0" w:type="auto"/>
        <w:tblLayout w:type="fixed"/>
        <w:tblCellMar>
          <w:left w:w="62" w:type="dxa"/>
          <w:right w:w="62" w:type="dxa"/>
        </w:tblCellMar>
        <w:tblLook w:val="0000"/>
      </w:tblPr>
      <w:tblGrid>
        <w:gridCol w:w="2694"/>
        <w:gridCol w:w="6350"/>
      </w:tblGrid>
      <w:tr w:rsidTr="00CC319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319E" w:rsidP="00CC319E">
            <w:pPr>
              <w:pStyle w:val="BodyText"/>
            </w:pPr>
            <w:r w:rsidRPr="00CC319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C319E">
            <w:pPr>
              <w:pStyle w:val="BodyText"/>
              <w:rPr>
                <w:lang w:val="en-NZ"/>
              </w:rPr>
            </w:pPr>
            <w:r w:rsidRPr="00CC319E">
              <w:rPr>
                <w:rStyle w:val="SpecialBold"/>
              </w:rPr>
              <w:t>PERFORMANCE</w:t>
            </w:r>
            <w:r w:rsidRPr="00CC319E">
              <w:t xml:space="preserve"> </w:t>
            </w:r>
            <w:r w:rsidRPr="00CC319E">
              <w:rPr>
                <w:rStyle w:val="SpecialBold"/>
              </w:rPr>
              <w:t>CRITERIA</w:t>
            </w:r>
          </w:p>
        </w:tc>
      </w:tr>
      <w:tr w:rsidTr="00CC319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C319E" w:rsidP="00CC319E">
            <w:pPr>
              <w:pStyle w:val="BodyText"/>
            </w:pPr>
            <w:r w:rsidRPr="00CC319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C319E">
            <w:pPr>
              <w:pStyle w:val="BodyText"/>
              <w:rPr>
                <w:lang w:val="en-NZ"/>
              </w:rPr>
            </w:pPr>
            <w:r w:rsidRPr="00CC319E">
              <w:rPr>
                <w:rStyle w:val="Emphasis"/>
              </w:rPr>
              <w:t>Performance criteria describe the performance needed to demonstrate achievement of the element.</w:t>
            </w:r>
          </w:p>
        </w:tc>
      </w:tr>
      <w:tr w:rsidTr="00CC319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319E">
            <w:pPr>
              <w:pStyle w:val="List"/>
              <w:rPr>
                <w:lang w:val="en-NZ"/>
              </w:rPr>
            </w:pPr>
            <w:r w:rsidRPr="00CC319E">
              <w:t>1.  Establish positive relationships with older Aboriginal and/or Torres Strait Islander people.</w:t>
            </w:r>
          </w:p>
        </w:tc>
        <w:tc>
          <w:tcPr>
            <w:tcW w:w="6350" w:type="dxa"/>
            <w:tcBorders>
              <w:top w:val="nil"/>
              <w:left w:val="nil"/>
              <w:bottom w:val="nil"/>
              <w:right w:val="nil"/>
            </w:tcBorders>
            <w:tcMar>
              <w:top w:w="0" w:type="dxa"/>
              <w:left w:w="62" w:type="dxa"/>
              <w:bottom w:w="0" w:type="dxa"/>
              <w:right w:w="62" w:type="dxa"/>
            </w:tcMar>
          </w:tcPr>
          <w:p w:rsidR="00000000" w:rsidRPr="00CC319E" w:rsidP="00CC319E">
            <w:pPr>
              <w:pStyle w:val="List"/>
            </w:pPr>
            <w:r w:rsidRPr="00CC319E">
              <w:t>1.1. Communicate cons</w:t>
            </w:r>
            <w:r w:rsidRPr="00CC319E">
              <w:t>istently in culturally appropriate and safe ways with older people and their support network.</w:t>
            </w:r>
          </w:p>
          <w:p w:rsidR="00000000" w:rsidRPr="00CC319E" w:rsidP="00CC319E">
            <w:pPr>
              <w:pStyle w:val="List"/>
            </w:pPr>
            <w:r w:rsidRPr="00CC319E">
              <w:t>1.2. Build trust and rapport by showing sensitivity and empathy during all interactions.</w:t>
            </w:r>
          </w:p>
          <w:p w:rsidR="00000000" w:rsidRPr="00CC319E" w:rsidP="00CC319E">
            <w:pPr>
              <w:pStyle w:val="List"/>
            </w:pPr>
            <w:r w:rsidRPr="00CC319E">
              <w:t>1.3. Use communication techniques that promote empowerment of the older p</w:t>
            </w:r>
            <w:r w:rsidRPr="00CC319E">
              <w:t>erson and support them to express their own preferences.</w:t>
            </w:r>
          </w:p>
          <w:p w:rsidR="00000000" w:rsidRPr="00CC319E" w:rsidP="00CC319E">
            <w:pPr>
              <w:pStyle w:val="List"/>
            </w:pPr>
            <w:r w:rsidRPr="00CC319E">
              <w:t>1.4. Recognise and show respect for lifestyle practices, activities and interests of the older person.</w:t>
            </w:r>
          </w:p>
          <w:p w:rsidR="00000000" w:rsidP="00CC319E">
            <w:pPr>
              <w:pStyle w:val="List"/>
              <w:rPr>
                <w:lang w:val="en-NZ"/>
              </w:rPr>
            </w:pPr>
            <w:r w:rsidRPr="00CC319E">
              <w:t>1.5. Identify and engage with the older person’s support network using communication that establ</w:t>
            </w:r>
            <w:r w:rsidRPr="00CC319E">
              <w:t>ishes trust and goodwill.</w:t>
            </w:r>
          </w:p>
        </w:tc>
      </w:tr>
      <w:tr w:rsidTr="00CC319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C319E">
            <w:pPr>
              <w:pStyle w:val="List"/>
              <w:rPr>
                <w:lang w:val="en-NZ"/>
              </w:rPr>
            </w:pPr>
            <w:r w:rsidRPr="00CC319E">
              <w:t>2.  Provide information and support to older people.</w:t>
            </w:r>
          </w:p>
        </w:tc>
        <w:tc>
          <w:tcPr>
            <w:tcW w:w="6350" w:type="dxa"/>
            <w:tcBorders>
              <w:top w:val="nil"/>
              <w:left w:val="nil"/>
              <w:bottom w:val="nil"/>
              <w:right w:val="nil"/>
            </w:tcBorders>
            <w:tcMar>
              <w:top w:w="0" w:type="dxa"/>
              <w:left w:w="62" w:type="dxa"/>
              <w:bottom w:w="0" w:type="dxa"/>
              <w:right w:w="62" w:type="dxa"/>
            </w:tcMar>
          </w:tcPr>
          <w:p w:rsidR="00000000" w:rsidRPr="00CC319E" w:rsidP="00CC319E">
            <w:pPr>
              <w:pStyle w:val="List"/>
            </w:pPr>
            <w:r w:rsidRPr="00CC319E">
              <w:t>2.1. Promote and encourage daily living habits for older people that contribute to a healthy lifestyle.</w:t>
            </w:r>
          </w:p>
          <w:p w:rsidR="00000000" w:rsidRPr="00CC319E" w:rsidP="00CC319E">
            <w:pPr>
              <w:pStyle w:val="List"/>
            </w:pPr>
            <w:r w:rsidRPr="00CC319E">
              <w:t>2.2. Provide information on changes associated with ageing</w:t>
            </w:r>
            <w:r w:rsidRPr="00CC319E">
              <w:t xml:space="preserve"> in terms that are easily understood by the older person.</w:t>
            </w:r>
          </w:p>
          <w:p w:rsidR="00000000" w:rsidRPr="00CC319E" w:rsidP="00CC319E">
            <w:pPr>
              <w:pStyle w:val="List"/>
            </w:pPr>
            <w:r w:rsidRPr="00CC319E">
              <w:t>2.3. Communicate how changes may impact daily activities and provide information that helps the older person to manage those impacts.</w:t>
            </w:r>
          </w:p>
          <w:p w:rsidR="00000000" w:rsidRPr="00CC319E" w:rsidP="00CC319E">
            <w:pPr>
              <w:pStyle w:val="List"/>
            </w:pPr>
            <w:r w:rsidRPr="00CC319E">
              <w:t>2.4. Identify and suggest ways that the older person can maintai</w:t>
            </w:r>
            <w:r w:rsidRPr="00CC319E">
              <w:t>n social, cultural and spiritual connectedness with their community.</w:t>
            </w:r>
          </w:p>
          <w:p w:rsidR="00000000" w:rsidRPr="00CC319E" w:rsidP="00CC319E">
            <w:pPr>
              <w:pStyle w:val="List"/>
            </w:pPr>
            <w:r w:rsidRPr="00CC319E">
              <w:t>2.5. Provide clear information about the older person’s rights and responsibilities and encourage them to self-advocate for those rights.</w:t>
            </w:r>
          </w:p>
          <w:p w:rsidR="00000000" w:rsidRPr="00CC319E" w:rsidP="00CC319E">
            <w:pPr>
              <w:pStyle w:val="List"/>
            </w:pPr>
            <w:r w:rsidRPr="00CC319E">
              <w:t>2.6. Facilitate choice by clearly explaining diff</w:t>
            </w:r>
            <w:r w:rsidRPr="00CC319E">
              <w:t>erent support service options and how to access them.</w:t>
            </w:r>
          </w:p>
          <w:p w:rsidR="00000000" w:rsidP="00CC319E">
            <w:pPr>
              <w:pStyle w:val="List"/>
              <w:rPr>
                <w:lang w:val="en-NZ"/>
              </w:rPr>
            </w:pPr>
            <w:r w:rsidRPr="00CC319E">
              <w:t>2.7. Share information with older person’s support network according to their preferences.</w:t>
            </w:r>
          </w:p>
        </w:tc>
      </w:tr>
      <w:tr w:rsidTr="00CC319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C319E">
            <w:pPr>
              <w:pStyle w:val="List"/>
              <w:rPr>
                <w:lang w:val="en-NZ"/>
              </w:rPr>
            </w:pPr>
            <w:r w:rsidRPr="00CC319E">
              <w:t>3.  Identify older people at risk.</w:t>
            </w:r>
          </w:p>
        </w:tc>
        <w:tc>
          <w:tcPr>
            <w:tcW w:w="6350" w:type="dxa"/>
            <w:tcBorders>
              <w:top w:val="nil"/>
              <w:left w:val="nil"/>
              <w:bottom w:val="nil"/>
              <w:right w:val="nil"/>
            </w:tcBorders>
            <w:tcMar>
              <w:top w:w="0" w:type="dxa"/>
              <w:left w:w="62" w:type="dxa"/>
              <w:bottom w:w="0" w:type="dxa"/>
              <w:right w:w="62" w:type="dxa"/>
            </w:tcMar>
          </w:tcPr>
          <w:p w:rsidR="00000000" w:rsidRPr="00CC319E" w:rsidP="00CC319E">
            <w:pPr>
              <w:pStyle w:val="List"/>
            </w:pPr>
            <w:r w:rsidRPr="00CC319E">
              <w:t xml:space="preserve">3.1. Monitor the general wellbeing of older people through observation and </w:t>
            </w:r>
            <w:r w:rsidRPr="00CC319E">
              <w:t>interactions during day-to-day activities.</w:t>
            </w:r>
          </w:p>
          <w:p w:rsidR="00000000" w:rsidRPr="00CC319E" w:rsidP="00CC319E">
            <w:pPr>
              <w:pStyle w:val="List"/>
            </w:pPr>
            <w:r w:rsidRPr="00CC319E">
              <w:t>3.2. Recognise signs that an older person may be experiencing physical, social or emotional challenges that are impacting their quality of life.</w:t>
            </w:r>
          </w:p>
          <w:p w:rsidR="00000000" w:rsidRPr="00CC319E" w:rsidP="00CC319E">
            <w:pPr>
              <w:pStyle w:val="List"/>
            </w:pPr>
            <w:r w:rsidRPr="00CC319E">
              <w:t>3.3. Provide opportunities for the person share information and feel</w:t>
            </w:r>
            <w:r w:rsidRPr="00CC319E">
              <w:t>ings and follow procedures for maintaining confidentiality.</w:t>
            </w:r>
          </w:p>
          <w:p w:rsidR="00000000" w:rsidRPr="00CC319E" w:rsidP="00CC319E">
            <w:pPr>
              <w:pStyle w:val="List"/>
            </w:pPr>
            <w:r w:rsidRPr="00CC319E">
              <w:t>3.4. Report issues of concern according to organisational procedures.</w:t>
            </w:r>
          </w:p>
          <w:p w:rsidR="00000000" w:rsidRPr="00CC319E" w:rsidP="00CC319E">
            <w:pPr>
              <w:pStyle w:val="List"/>
            </w:pPr>
            <w:r w:rsidRPr="00CC319E">
              <w:t>3.5. Identify situations where an older person’s rights are not being upheld and report according to organisational procedures</w:t>
            </w:r>
            <w:r w:rsidRPr="00CC319E">
              <w:t>.</w:t>
            </w:r>
          </w:p>
          <w:p w:rsidR="00000000" w:rsidRPr="00CC319E" w:rsidP="00CC319E">
            <w:pPr>
              <w:pStyle w:val="List"/>
            </w:pPr>
            <w:r w:rsidRPr="00CC319E">
              <w:t>3.6. Identify indicators of elder abuse and report according to organisational procedures.</w:t>
            </w:r>
          </w:p>
        </w:tc>
      </w:tr>
    </w:tbl>
    <w:p w:rsidR="00000000" w:rsidRPr="00CC319E" w:rsidP="00CC319E">
      <w:pPr>
        <w:pStyle w:val="BodyText"/>
      </w:pPr>
    </w:p>
    <w:p w:rsidR="00000000" w:rsidRPr="00CC319E" w:rsidP="00CC319E">
      <w:pPr>
        <w:pStyle w:val="AllowPageBreak"/>
      </w:pPr>
    </w:p>
    <w:p w:rsidR="00000000" w:rsidRPr="00CC319E" w:rsidP="00CC319E">
      <w:pPr>
        <w:pStyle w:val="Heading1"/>
      </w:pPr>
      <w:bookmarkStart w:id="7" w:name="O_1278271"/>
      <w:bookmarkEnd w:id="7"/>
      <w:r w:rsidRPr="00CC319E">
        <w:t>Foundation Skills</w:t>
      </w:r>
    </w:p>
    <w:tbl>
      <w:tblPr>
        <w:tblW w:w="0" w:type="auto"/>
        <w:tblLayout w:type="fixed"/>
        <w:tblCellMar>
          <w:left w:w="62" w:type="dxa"/>
          <w:right w:w="62" w:type="dxa"/>
        </w:tblCellMar>
        <w:tblLook w:val="0000"/>
      </w:tblPr>
      <w:tblGrid>
        <w:gridCol w:w="2694"/>
        <w:gridCol w:w="6350"/>
      </w:tblGrid>
      <w:tr w:rsidTr="00CC319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C319E">
            <w:pPr>
              <w:pStyle w:val="BodyText"/>
              <w:rPr>
                <w:lang w:val="en-NZ"/>
              </w:rPr>
            </w:pPr>
            <w:r w:rsidRPr="00CC319E">
              <w:rPr>
                <w:rStyle w:val="Emphasis"/>
              </w:rPr>
              <w:t>Foundation skills essential to performance in this unit, but not explicit in the performance criteria are listed here, along with a brief context statement.</w:t>
            </w:r>
          </w:p>
        </w:tc>
      </w:tr>
      <w:tr w:rsidTr="00CC319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319E" w:rsidP="00CC319E">
            <w:pPr>
              <w:pStyle w:val="BodyText"/>
            </w:pPr>
          </w:p>
          <w:p w:rsidR="00000000" w:rsidRPr="00CC319E" w:rsidP="00CC319E">
            <w:pPr>
              <w:pStyle w:val="BodyText"/>
            </w:pPr>
            <w:r w:rsidRPr="00CC319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C319E">
            <w:pPr>
              <w:pStyle w:val="BodyText"/>
              <w:rPr>
                <w:lang w:val="en-NZ"/>
              </w:rPr>
            </w:pPr>
            <w:r w:rsidRPr="00CC319E">
              <w:rPr>
                <w:rStyle w:val="SpecialBold"/>
              </w:rPr>
              <w:t>DESCRIPTION</w:t>
            </w:r>
          </w:p>
        </w:tc>
      </w:tr>
      <w:tr w:rsidTr="00CC319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19E">
            <w:pPr>
              <w:pStyle w:val="BodyText"/>
              <w:rPr>
                <w:lang w:val="en-NZ"/>
              </w:rPr>
            </w:pPr>
            <w:r w:rsidRPr="00CC319E">
              <w:t>Reading skills to:</w:t>
            </w:r>
          </w:p>
        </w:tc>
        <w:tc>
          <w:tcPr>
            <w:tcW w:w="6350" w:type="dxa"/>
            <w:tcBorders>
              <w:top w:val="nil"/>
              <w:left w:val="nil"/>
              <w:bottom w:val="nil"/>
              <w:right w:val="nil"/>
            </w:tcBorders>
            <w:tcMar>
              <w:top w:w="0" w:type="dxa"/>
              <w:left w:w="62" w:type="dxa"/>
              <w:bottom w:w="0" w:type="dxa"/>
              <w:right w:w="62" w:type="dxa"/>
            </w:tcMar>
          </w:tcPr>
          <w:p w:rsidR="00000000" w:rsidP="00CC319E">
            <w:pPr>
              <w:pStyle w:val="ListBullet"/>
              <w:rPr>
                <w:lang w:val="en-NZ"/>
              </w:rPr>
            </w:pPr>
            <w:r w:rsidRPr="00CC319E">
              <w:t>interpret familiar detailed organisational policies and procedures.</w:t>
            </w:r>
          </w:p>
        </w:tc>
      </w:tr>
      <w:tr w:rsidTr="00CC319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19E">
            <w:pPr>
              <w:pStyle w:val="BodyText"/>
              <w:rPr>
                <w:lang w:val="en-NZ"/>
              </w:rPr>
            </w:pPr>
            <w:r w:rsidRPr="00CC319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C319E" w:rsidP="00CC319E">
            <w:pPr>
              <w:pStyle w:val="ListBullet"/>
            </w:pPr>
            <w:r w:rsidRPr="00CC319E">
              <w:t>use language and terms sensitive to the needs of older people</w:t>
            </w:r>
          </w:p>
          <w:p w:rsidR="00000000" w:rsidRPr="00CC319E" w:rsidP="00CC319E">
            <w:pPr>
              <w:pStyle w:val="ListBullet"/>
            </w:pPr>
            <w:r w:rsidRPr="00CC319E">
              <w:t>provide information using plain language and terms easily understood</w:t>
            </w:r>
          </w:p>
          <w:p w:rsidR="00000000" w:rsidRPr="00CC319E" w:rsidP="00CC319E">
            <w:pPr>
              <w:pStyle w:val="ListBullet"/>
            </w:pPr>
            <w:r w:rsidRPr="00CC319E">
              <w:t>ask open and closed probe</w:t>
            </w:r>
            <w:r w:rsidRPr="00CC319E">
              <w:t xml:space="preserve"> questions and actively listen to determine client needs and understanding of information provided.</w:t>
            </w:r>
          </w:p>
        </w:tc>
      </w:tr>
    </w:tbl>
    <w:p w:rsidR="00000000" w:rsidRPr="00CC319E" w:rsidP="00CC319E">
      <w:pPr>
        <w:pStyle w:val="BodyText"/>
      </w:pPr>
    </w:p>
    <w:p w:rsidR="00000000" w:rsidRPr="00CC319E" w:rsidP="00CC319E">
      <w:pPr>
        <w:pStyle w:val="AllowPageBreak"/>
      </w:pPr>
    </w:p>
    <w:p w:rsidR="00000000" w:rsidRPr="00CC319E" w:rsidP="00CC319E">
      <w:pPr>
        <w:pStyle w:val="Heading1"/>
      </w:pPr>
      <w:bookmarkStart w:id="8" w:name="O_1278273"/>
      <w:bookmarkEnd w:id="8"/>
      <w:r w:rsidRPr="00CC319E">
        <w:t>Unit Mapping Information</w:t>
      </w:r>
    </w:p>
    <w:p w:rsidR="00000000" w:rsidRPr="00CC319E" w:rsidP="00147752">
      <w:pPr>
        <w:pStyle w:val="BodyText"/>
      </w:pPr>
      <w:r w:rsidRPr="00CC319E">
        <w:t>This unit supersedes and is not equivalent to HLTAHW014 Work with Elders in Aboriginal and/or Torres Strait Is</w:t>
      </w:r>
      <w:r w:rsidRPr="00CC319E">
        <w:t>lander communities.</w:t>
      </w:r>
    </w:p>
    <w:p w:rsidR="00000000" w:rsidRPr="00CC319E" w:rsidP="00CC319E">
      <w:pPr>
        <w:pStyle w:val="Heading1"/>
      </w:pPr>
      <w:bookmarkStart w:id="9" w:name="O_1278280"/>
      <w:bookmarkEnd w:id="9"/>
      <w:r w:rsidRPr="00CC319E">
        <w:t>Links</w:t>
      </w:r>
    </w:p>
    <w:p w:rsidR="00000000" w:rsidRPr="00CC319E" w:rsidP="00147752">
      <w:pPr>
        <w:pStyle w:val="BodyText"/>
      </w:pPr>
      <w:r w:rsidRPr="00CC319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D65D8">
        <w:rPr>
          <w:rStyle w:val="Hyperlink"/>
        </w:rPr>
        <w:t>https://vetnet.gov.au/Pages/TrainingDocs.aspx?q=ced1390f-48d9-4ab0-bd50-b015e5485705</w:t>
      </w:r>
      <w:r>
        <w:fldChar w:fldCharType="end"/>
      </w:r>
    </w:p>
    <w:p w:rsidR="00000000" w:rsidRPr="00CC319E" w:rsidP="00CC319E"/>
    <w:sectPr w:rsidSect="00CC3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9E" w:rsidRPr="00147752" w:rsidP="00147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52" w:rsidP="00CC3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752" w:rsidP="00CC319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7752" w:rsidP="00CC3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19E" w:rsidRPr="00147752" w:rsidP="00147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52" w:rsidRPr="002D2AF8" w:rsidP="00CC319E">
    <w:pPr>
      <w:pStyle w:val="Header"/>
      <w:framePr w:wrap="around"/>
    </w:pPr>
    <w:r>
      <w:fldChar w:fldCharType="begin"/>
    </w:r>
    <w:r>
      <w:instrText xml:space="preserve"> TITLE   \* MERGEFORMAT </w:instrText>
    </w:r>
    <w:r>
      <w:fldChar w:fldCharType="separate"/>
    </w:r>
    <w:r>
      <w:t>HLTAHCS012 Provide support to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47752" w:rsidP="00CC3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0A7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88E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19E"/>
    <w:pPr>
      <w:spacing w:before="360" w:after="60"/>
      <w:outlineLvl w:val="0"/>
    </w:pPr>
    <w:rPr>
      <w:sz w:val="32"/>
    </w:rPr>
  </w:style>
  <w:style w:type="paragraph" w:styleId="Heading2">
    <w:name w:val="heading 2"/>
    <w:basedOn w:val="HeadingBase"/>
    <w:next w:val="BodyText"/>
    <w:link w:val="Heading2Char"/>
    <w:qFormat/>
    <w:rsid w:val="00CC319E"/>
    <w:pPr>
      <w:keepLines/>
      <w:spacing w:before="240" w:after="120"/>
      <w:outlineLvl w:val="1"/>
    </w:pPr>
    <w:rPr>
      <w:sz w:val="28"/>
      <w:szCs w:val="40"/>
    </w:rPr>
  </w:style>
  <w:style w:type="paragraph" w:styleId="Heading3">
    <w:name w:val="heading 3"/>
    <w:basedOn w:val="HeadingBase"/>
    <w:next w:val="BodyText"/>
    <w:link w:val="Heading3Char"/>
    <w:qFormat/>
    <w:rsid w:val="00CC319E"/>
    <w:pPr>
      <w:spacing w:before="180" w:after="120"/>
      <w:outlineLvl w:val="2"/>
    </w:pPr>
    <w:rPr>
      <w:spacing w:val="-10"/>
      <w:kern w:val="32"/>
    </w:rPr>
  </w:style>
  <w:style w:type="paragraph" w:styleId="Heading4">
    <w:name w:val="heading 4"/>
    <w:basedOn w:val="HeadingBase"/>
    <w:next w:val="BodyText"/>
    <w:link w:val="Heading4Char"/>
    <w:qFormat/>
    <w:rsid w:val="00CC319E"/>
    <w:pPr>
      <w:spacing w:before="160" w:after="120"/>
      <w:outlineLvl w:val="3"/>
    </w:pPr>
    <w:rPr>
      <w:sz w:val="22"/>
    </w:rPr>
  </w:style>
  <w:style w:type="paragraph" w:styleId="Heading5">
    <w:name w:val="heading 5"/>
    <w:basedOn w:val="HeadingBase"/>
    <w:next w:val="Normal"/>
    <w:link w:val="Heading5Char"/>
    <w:qFormat/>
    <w:rsid w:val="00CC319E"/>
    <w:pPr>
      <w:spacing w:before="80"/>
      <w:outlineLvl w:val="4"/>
    </w:pPr>
    <w:rPr>
      <w:color w:val="918585"/>
      <w:sz w:val="20"/>
    </w:rPr>
  </w:style>
  <w:style w:type="paragraph" w:styleId="Heading6">
    <w:name w:val="heading 6"/>
    <w:basedOn w:val="HeadingBase"/>
    <w:next w:val="Normal"/>
    <w:link w:val="Heading6Char"/>
    <w:qFormat/>
    <w:rsid w:val="00CC319E"/>
    <w:pPr>
      <w:spacing w:before="60"/>
      <w:outlineLvl w:val="5"/>
    </w:pPr>
    <w:rPr>
      <w:color w:val="918585"/>
      <w:sz w:val="20"/>
    </w:rPr>
  </w:style>
  <w:style w:type="paragraph" w:styleId="Heading7">
    <w:name w:val="heading 7"/>
    <w:basedOn w:val="Normal"/>
    <w:next w:val="Normal"/>
    <w:link w:val="Heading7Char"/>
    <w:qFormat/>
    <w:rsid w:val="00CC319E"/>
    <w:pPr>
      <w:ind w:left="720"/>
      <w:outlineLvl w:val="6"/>
    </w:pPr>
    <w:rPr>
      <w:i/>
    </w:rPr>
  </w:style>
  <w:style w:type="paragraph" w:styleId="Heading8">
    <w:name w:val="heading 8"/>
    <w:basedOn w:val="Normal"/>
    <w:next w:val="Normal"/>
    <w:link w:val="Heading8Char"/>
    <w:qFormat/>
    <w:rsid w:val="00CC319E"/>
    <w:pPr>
      <w:ind w:left="720"/>
      <w:outlineLvl w:val="7"/>
    </w:pPr>
    <w:rPr>
      <w:i/>
    </w:rPr>
  </w:style>
  <w:style w:type="paragraph" w:styleId="Heading9">
    <w:name w:val="heading 9"/>
    <w:basedOn w:val="Normal"/>
    <w:next w:val="Normal"/>
    <w:link w:val="Heading9Char"/>
    <w:qFormat/>
    <w:rsid w:val="00CC319E"/>
    <w:pPr>
      <w:ind w:left="720"/>
      <w:outlineLvl w:val="8"/>
    </w:pPr>
    <w:rPr>
      <w:i/>
    </w:rPr>
  </w:style>
  <w:style w:type="character" w:default="1" w:styleId="DefaultParagraphFont">
    <w:name w:val="Default Paragraph Font"/>
    <w:uiPriority w:val="1"/>
    <w:unhideWhenUsed/>
    <w:rsid w:val="00CC3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19E"/>
  </w:style>
  <w:style w:type="character" w:customStyle="1" w:styleId="Heading1Char">
    <w:name w:val="Heading 1 Char"/>
    <w:basedOn w:val="DefaultParagraphFont"/>
    <w:link w:val="Heading1"/>
    <w:rsid w:val="00CC319E"/>
    <w:rPr>
      <w:rFonts w:ascii="Times New Roman" w:eastAsia="Times New Roman" w:hAnsi="Times New Roman" w:cs="Times New Roman"/>
      <w:b/>
      <w:sz w:val="32"/>
      <w:szCs w:val="20"/>
      <w:lang w:eastAsia="en-US"/>
    </w:rPr>
  </w:style>
  <w:style w:type="paragraph" w:styleId="BodyText">
    <w:name w:val="Body Text"/>
    <w:basedOn w:val="Normal"/>
    <w:link w:val="BodyTextChar"/>
    <w:rsid w:val="00CC3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19E"/>
    <w:rPr>
      <w:rFonts w:ascii="Times New Roman" w:eastAsia="Times New Roman" w:hAnsi="Times New Roman" w:cs="Times New Roman"/>
      <w:sz w:val="24"/>
      <w:lang w:eastAsia="en-US"/>
    </w:rPr>
  </w:style>
  <w:style w:type="paragraph" w:styleId="List">
    <w:name w:val="List"/>
    <w:basedOn w:val="BodyText"/>
    <w:next w:val="BodyText"/>
    <w:rsid w:val="00CC319E"/>
    <w:pPr>
      <w:tabs>
        <w:tab w:val="left" w:pos="340"/>
      </w:tabs>
      <w:spacing w:before="60" w:after="60"/>
      <w:ind w:left="340" w:hanging="340"/>
    </w:pPr>
  </w:style>
  <w:style w:type="paragraph" w:styleId="ListBullet">
    <w:name w:val="List Bullet"/>
    <w:basedOn w:val="List"/>
    <w:rsid w:val="00CC319E"/>
    <w:pPr>
      <w:numPr>
        <w:numId w:val="11"/>
      </w:numPr>
      <w:tabs>
        <w:tab w:val="clear" w:pos="340"/>
      </w:tabs>
      <w:spacing w:before="40" w:after="40"/>
    </w:pPr>
  </w:style>
  <w:style w:type="character" w:customStyle="1" w:styleId="SpecialBold">
    <w:name w:val="Special Bold"/>
    <w:basedOn w:val="DefaultParagraphFont"/>
    <w:rsid w:val="00CC319E"/>
    <w:rPr>
      <w:b/>
      <w:spacing w:val="0"/>
    </w:rPr>
  </w:style>
  <w:style w:type="character" w:styleId="Emphasis">
    <w:name w:val="Emphasis"/>
    <w:basedOn w:val="DefaultParagraphFont"/>
    <w:qFormat/>
    <w:rsid w:val="00CC319E"/>
    <w:rPr>
      <w:i/>
    </w:rPr>
  </w:style>
  <w:style w:type="paragraph" w:customStyle="1" w:styleId="SuperHeading">
    <w:name w:val="SuperHeading"/>
    <w:basedOn w:val="Normal"/>
    <w:rsid w:val="00CC319E"/>
    <w:pPr>
      <w:spacing w:before="240" w:after="120"/>
      <w:outlineLvl w:val="0"/>
    </w:pPr>
    <w:rPr>
      <w:rFonts w:ascii="Times New Roman" w:hAnsi="Times New Roman"/>
      <w:b/>
      <w:sz w:val="32"/>
    </w:rPr>
  </w:style>
  <w:style w:type="paragraph" w:customStyle="1" w:styleId="AllowPageBreak">
    <w:name w:val="AllowPageBreak"/>
    <w:rsid w:val="00CC3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19E"/>
    <w:rPr>
      <w:rFonts w:ascii="Courier New" w:eastAsia="Times New Roman" w:hAnsi="Courier New" w:cs="Times New Roman"/>
      <w:i/>
      <w:szCs w:val="20"/>
      <w:lang w:eastAsia="en-US"/>
    </w:rPr>
  </w:style>
  <w:style w:type="paragraph" w:customStyle="1" w:styleId="HeadingBase">
    <w:name w:val="Heading Base"/>
    <w:rsid w:val="00CC3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19E"/>
    <w:pPr>
      <w:tabs>
        <w:tab w:val="right" w:leader="dot" w:pos="9072"/>
      </w:tabs>
      <w:ind w:left="567"/>
    </w:pPr>
    <w:rPr>
      <w:szCs w:val="22"/>
    </w:rPr>
  </w:style>
  <w:style w:type="paragraph" w:customStyle="1" w:styleId="TOCBase">
    <w:name w:val="TOC Base"/>
    <w:rsid w:val="00CC3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19E"/>
    <w:pPr>
      <w:tabs>
        <w:tab w:val="right" w:leader="dot" w:pos="9072"/>
      </w:tabs>
      <w:spacing w:before="40" w:after="40"/>
      <w:ind w:left="284"/>
    </w:pPr>
    <w:rPr>
      <w:rFonts w:ascii="Times New Roman" w:hAnsi="Times New Roman"/>
    </w:rPr>
  </w:style>
  <w:style w:type="paragraph" w:styleId="TOC1">
    <w:name w:val="toc 1"/>
    <w:basedOn w:val="TOCBase"/>
    <w:next w:val="Normal"/>
    <w:rsid w:val="00CC3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19E"/>
    <w:rPr>
      <w:rFonts w:ascii="Times New Roman" w:eastAsia="Times New Roman" w:hAnsi="Times New Roman" w:cs="Times New Roman"/>
      <w:sz w:val="16"/>
      <w:lang w:eastAsia="en-US"/>
    </w:rPr>
  </w:style>
  <w:style w:type="paragraph" w:styleId="Title">
    <w:name w:val="Title"/>
    <w:basedOn w:val="HeadingBase"/>
    <w:link w:val="TitleChar"/>
    <w:qFormat/>
    <w:rsid w:val="00CC319E"/>
    <w:pPr>
      <w:spacing w:before="5040"/>
      <w:jc w:val="center"/>
    </w:pPr>
    <w:rPr>
      <w:sz w:val="48"/>
      <w:szCs w:val="72"/>
      <w:lang w:val="en-US"/>
    </w:rPr>
  </w:style>
  <w:style w:type="character" w:customStyle="1" w:styleId="TitleChar">
    <w:name w:val="Title Char"/>
    <w:basedOn w:val="DefaultParagraphFont"/>
    <w:link w:val="Title"/>
    <w:rsid w:val="00CC3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19E"/>
    <w:pPr>
      <w:tabs>
        <w:tab w:val="left" w:pos="3600"/>
        <w:tab w:val="left" w:pos="3958"/>
      </w:tabs>
    </w:pPr>
  </w:style>
  <w:style w:type="paragraph" w:customStyle="1" w:styleId="Note">
    <w:name w:val="Note"/>
    <w:basedOn w:val="BodyText"/>
    <w:rsid w:val="00CC3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19E"/>
    <w:pPr>
      <w:framePr w:wrap="auto" w:hAnchor="text" w:y="6049"/>
    </w:pPr>
    <w:rPr>
      <w:color w:val="000000"/>
      <w:sz w:val="40"/>
    </w:rPr>
  </w:style>
  <w:style w:type="paragraph" w:customStyle="1" w:styleId="TOCTitle">
    <w:name w:val="TOCTitle"/>
    <w:basedOn w:val="Heading1"/>
    <w:rsid w:val="00CC319E"/>
    <w:pPr>
      <w:spacing w:after="240"/>
      <w:jc w:val="center"/>
      <w:outlineLvl w:val="9"/>
    </w:pPr>
    <w:rPr>
      <w:caps/>
    </w:rPr>
  </w:style>
  <w:style w:type="paragraph" w:customStyle="1" w:styleId="Version">
    <w:name w:val="Version"/>
    <w:rsid w:val="00CC31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19E"/>
    <w:pPr>
      <w:numPr>
        <w:numId w:val="12"/>
      </w:numPr>
      <w:tabs>
        <w:tab w:val="clear" w:pos="680"/>
      </w:tabs>
    </w:pPr>
  </w:style>
  <w:style w:type="paragraph" w:styleId="Index1">
    <w:name w:val="index 1"/>
    <w:basedOn w:val="Normal"/>
    <w:next w:val="Normal"/>
    <w:semiHidden/>
    <w:rsid w:val="00CC319E"/>
    <w:pPr>
      <w:keepNext w:val="0"/>
      <w:tabs>
        <w:tab w:val="right" w:pos="4176"/>
      </w:tabs>
      <w:ind w:left="198" w:hanging="198"/>
    </w:pPr>
    <w:rPr>
      <w:rFonts w:ascii="Garamond" w:hAnsi="Garamond"/>
    </w:rPr>
  </w:style>
  <w:style w:type="paragraph" w:styleId="IndexHeading">
    <w:name w:val="index heading"/>
    <w:basedOn w:val="Normal"/>
    <w:next w:val="Index1"/>
    <w:semiHidden/>
    <w:rsid w:val="00CC319E"/>
    <w:pPr>
      <w:spacing w:before="120" w:after="120"/>
    </w:pPr>
    <w:rPr>
      <w:rFonts w:ascii="Arial" w:hAnsi="Arial"/>
      <w:b/>
      <w:color w:val="918585"/>
      <w:sz w:val="24"/>
    </w:rPr>
  </w:style>
  <w:style w:type="paragraph" w:styleId="Header">
    <w:name w:val="header"/>
    <w:basedOn w:val="Normal"/>
    <w:link w:val="HeaderChar"/>
    <w:rsid w:val="00CC3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19E"/>
    <w:rPr>
      <w:rFonts w:ascii="Times New Roman" w:eastAsia="Times New Roman" w:hAnsi="Times New Roman" w:cs="Times New Roman"/>
      <w:sz w:val="16"/>
      <w:szCs w:val="20"/>
      <w:lang w:val="en-GB" w:eastAsia="en-US"/>
    </w:rPr>
  </w:style>
  <w:style w:type="paragraph" w:customStyle="1" w:styleId="Chapter">
    <w:name w:val="Chapter"/>
    <w:basedOn w:val="Normal"/>
    <w:rsid w:val="00CC319E"/>
    <w:pPr>
      <w:spacing w:before="240"/>
    </w:pPr>
    <w:rPr>
      <w:rFonts w:ascii="Times New Roman" w:hAnsi="Times New Roman"/>
      <w:smallCaps/>
      <w:spacing w:val="80"/>
      <w:sz w:val="28"/>
    </w:rPr>
  </w:style>
  <w:style w:type="paragraph" w:customStyle="1" w:styleId="InChapter">
    <w:name w:val="InChapter"/>
    <w:basedOn w:val="Heading3"/>
    <w:rsid w:val="00CC319E"/>
    <w:pPr>
      <w:spacing w:after="240"/>
      <w:outlineLvl w:val="9"/>
    </w:pPr>
    <w:rPr>
      <w:noProof/>
    </w:rPr>
  </w:style>
  <w:style w:type="paragraph" w:styleId="Index2">
    <w:name w:val="index 2"/>
    <w:basedOn w:val="Normal"/>
    <w:next w:val="Normal"/>
    <w:semiHidden/>
    <w:rsid w:val="00CC319E"/>
    <w:pPr>
      <w:tabs>
        <w:tab w:val="right" w:pos="4176"/>
      </w:tabs>
      <w:ind w:left="568" w:hanging="284"/>
    </w:pPr>
    <w:rPr>
      <w:rFonts w:ascii="Garamond" w:hAnsi="Garamond"/>
    </w:rPr>
  </w:style>
  <w:style w:type="paragraph" w:customStyle="1" w:styleId="Byline">
    <w:name w:val="Byline"/>
    <w:rsid w:val="00CC3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19E"/>
    <w:pPr>
      <w:tabs>
        <w:tab w:val="clear" w:pos="3600"/>
        <w:tab w:val="clear" w:pos="3958"/>
      </w:tabs>
      <w:jc w:val="right"/>
    </w:pPr>
  </w:style>
  <w:style w:type="paragraph" w:styleId="Caption">
    <w:name w:val="caption"/>
    <w:basedOn w:val="BodyText"/>
    <w:next w:val="Normal"/>
    <w:qFormat/>
    <w:rsid w:val="00CC319E"/>
    <w:pPr>
      <w:framePr w:w="2268" w:hSpace="181" w:vSpace="181" w:wrap="around" w:vAnchor="text" w:hAnchor="page" w:x="1135" w:y="285" w:anchorLock="1"/>
    </w:pPr>
    <w:rPr>
      <w:i/>
    </w:rPr>
  </w:style>
  <w:style w:type="paragraph" w:customStyle="1" w:styleId="MiniTOCTitle">
    <w:name w:val="MiniTOCTitle"/>
    <w:basedOn w:val="Heading4"/>
    <w:rsid w:val="00CC319E"/>
    <w:pPr>
      <w:spacing w:before="240"/>
      <w:outlineLvl w:val="9"/>
    </w:pPr>
    <w:rPr>
      <w:noProof/>
      <w:sz w:val="24"/>
    </w:rPr>
  </w:style>
  <w:style w:type="paragraph" w:customStyle="1" w:styleId="MiniTOCItem">
    <w:name w:val="MiniTOCItem"/>
    <w:basedOn w:val="ListBullet"/>
    <w:rsid w:val="00CC319E"/>
    <w:pPr>
      <w:numPr>
        <w:numId w:val="0"/>
      </w:numPr>
      <w:tabs>
        <w:tab w:val="right" w:leader="dot" w:pos="6521"/>
      </w:tabs>
      <w:spacing w:before="0" w:after="0"/>
    </w:pPr>
  </w:style>
  <w:style w:type="paragraph" w:customStyle="1" w:styleId="TOFTitle">
    <w:name w:val="TOFTitle"/>
    <w:basedOn w:val="TOCTitle"/>
    <w:rsid w:val="00CC319E"/>
  </w:style>
  <w:style w:type="paragraph" w:styleId="TableofFigures">
    <w:name w:val="table of figures"/>
    <w:basedOn w:val="Normal"/>
    <w:next w:val="Normal"/>
    <w:semiHidden/>
    <w:rsid w:val="00CC319E"/>
    <w:pPr>
      <w:tabs>
        <w:tab w:val="right" w:leader="dot" w:pos="9072"/>
      </w:tabs>
      <w:ind w:left="970" w:hanging="403"/>
    </w:pPr>
    <w:rPr>
      <w:rFonts w:ascii="Times New Roman" w:hAnsi="Times New Roman"/>
      <w:b/>
    </w:rPr>
  </w:style>
  <w:style w:type="paragraph" w:styleId="ListNumber">
    <w:name w:val="List Number"/>
    <w:basedOn w:val="List"/>
    <w:rsid w:val="00CC319E"/>
    <w:pPr>
      <w:numPr>
        <w:numId w:val="14"/>
      </w:numPr>
      <w:tabs>
        <w:tab w:val="clear" w:pos="340"/>
      </w:tabs>
    </w:pPr>
  </w:style>
  <w:style w:type="character" w:customStyle="1" w:styleId="WingdingSymbols">
    <w:name w:val="Wingding Symbols"/>
    <w:rsid w:val="00CC319E"/>
    <w:rPr>
      <w:rFonts w:ascii="Wingdings" w:hAnsi="Wingdings"/>
    </w:rPr>
  </w:style>
  <w:style w:type="paragraph" w:customStyle="1" w:styleId="TableHeading">
    <w:name w:val="Table Heading"/>
    <w:basedOn w:val="HeadingBase"/>
    <w:rsid w:val="00CC319E"/>
    <w:pPr>
      <w:keepLines/>
      <w:pBdr>
        <w:bottom w:val="single" w:sz="6" w:space="1" w:color="918585"/>
      </w:pBdr>
      <w:spacing w:before="240"/>
    </w:pPr>
  </w:style>
  <w:style w:type="character" w:customStyle="1" w:styleId="HotSpot">
    <w:name w:val="HotSpot"/>
    <w:rsid w:val="00CC319E"/>
    <w:rPr>
      <w:color w:val="0033CC"/>
      <w:u w:val="none"/>
    </w:rPr>
  </w:style>
  <w:style w:type="paragraph" w:customStyle="1" w:styleId="BodyTextRight">
    <w:name w:val="Body Text Right"/>
    <w:basedOn w:val="BodyText"/>
    <w:rsid w:val="00CC319E"/>
    <w:pPr>
      <w:spacing w:before="0" w:after="0"/>
      <w:jc w:val="right"/>
    </w:pPr>
  </w:style>
  <w:style w:type="paragraph" w:styleId="Index3">
    <w:name w:val="index 3"/>
    <w:basedOn w:val="ListNumber2"/>
    <w:next w:val="Normal"/>
    <w:semiHidden/>
    <w:rsid w:val="00CC319E"/>
    <w:pPr>
      <w:numPr>
        <w:numId w:val="0"/>
      </w:numPr>
      <w:tabs>
        <w:tab w:val="right" w:leader="dot" w:pos="4176"/>
      </w:tabs>
    </w:pPr>
  </w:style>
  <w:style w:type="paragraph" w:styleId="ListNumber2">
    <w:name w:val="List Number 2"/>
    <w:basedOn w:val="List2"/>
    <w:rsid w:val="00CC319E"/>
    <w:pPr>
      <w:numPr>
        <w:numId w:val="9"/>
      </w:numPr>
      <w:tabs>
        <w:tab w:val="clear" w:pos="1060"/>
      </w:tabs>
    </w:pPr>
  </w:style>
  <w:style w:type="paragraph" w:customStyle="1" w:styleId="MarginNote">
    <w:name w:val="Margin Note"/>
    <w:basedOn w:val="BodyText"/>
    <w:rsid w:val="00CC3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19E"/>
    <w:rPr>
      <w:sz w:val="32"/>
    </w:rPr>
  </w:style>
  <w:style w:type="paragraph" w:customStyle="1" w:styleId="HeadingProcedure">
    <w:name w:val="Heading Procedure"/>
    <w:basedOn w:val="HeadingBase"/>
    <w:next w:val="Normal"/>
    <w:rsid w:val="00CC319E"/>
    <w:pPr>
      <w:tabs>
        <w:tab w:val="left" w:pos="0"/>
      </w:tabs>
      <w:spacing w:before="120" w:after="60"/>
    </w:pPr>
    <w:rPr>
      <w:i/>
      <w:color w:val="918585"/>
      <w:sz w:val="22"/>
    </w:rPr>
  </w:style>
  <w:style w:type="paragraph" w:customStyle="1" w:styleId="TableBodyText">
    <w:name w:val="Table Body Text"/>
    <w:basedOn w:val="BodyText"/>
    <w:rsid w:val="00CC319E"/>
    <w:pPr>
      <w:spacing w:before="60" w:after="60"/>
    </w:pPr>
  </w:style>
  <w:style w:type="paragraph" w:styleId="ListContinue">
    <w:name w:val="List Continue"/>
    <w:basedOn w:val="List"/>
    <w:rsid w:val="00CC319E"/>
    <w:pPr>
      <w:ind w:firstLine="0"/>
    </w:pPr>
  </w:style>
  <w:style w:type="paragraph" w:customStyle="1" w:styleId="ListNote">
    <w:name w:val="List Note"/>
    <w:basedOn w:val="List"/>
    <w:rsid w:val="00CC319E"/>
    <w:pPr>
      <w:pBdr>
        <w:top w:val="single" w:sz="6" w:space="2" w:color="918585"/>
        <w:bottom w:val="single" w:sz="6" w:space="2" w:color="918585"/>
      </w:pBdr>
      <w:tabs>
        <w:tab w:val="left" w:pos="1021"/>
      </w:tabs>
      <w:ind w:firstLine="0"/>
    </w:pPr>
  </w:style>
  <w:style w:type="paragraph" w:customStyle="1" w:styleId="Warning">
    <w:name w:val="Warning"/>
    <w:basedOn w:val="BodyText"/>
    <w:rsid w:val="00CC319E"/>
    <w:pPr>
      <w:shd w:val="clear" w:color="auto" w:fill="D9D9D9"/>
      <w:tabs>
        <w:tab w:val="left" w:pos="992"/>
      </w:tabs>
      <w:ind w:left="119" w:right="119"/>
    </w:pPr>
    <w:rPr>
      <w:sz w:val="20"/>
    </w:rPr>
  </w:style>
  <w:style w:type="paragraph" w:customStyle="1" w:styleId="MarginIcons">
    <w:name w:val="Margin Icons"/>
    <w:basedOn w:val="BodyText"/>
    <w:rsid w:val="00CC3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19E"/>
    <w:rPr>
      <w:rFonts w:ascii="Courier New" w:hAnsi="Courier New"/>
    </w:rPr>
  </w:style>
  <w:style w:type="paragraph" w:customStyle="1" w:styleId="NoteBullet">
    <w:name w:val="Note Bullet"/>
    <w:basedOn w:val="Note"/>
    <w:rsid w:val="00CC319E"/>
    <w:pPr>
      <w:tabs>
        <w:tab w:val="clear" w:pos="680"/>
      </w:tabs>
      <w:spacing w:before="60" w:after="60"/>
    </w:pPr>
  </w:style>
  <w:style w:type="paragraph" w:customStyle="1" w:styleId="SubHeading2">
    <w:name w:val="SubHeading2"/>
    <w:basedOn w:val="HeadingBase"/>
    <w:rsid w:val="00CC319E"/>
    <w:pPr>
      <w:spacing w:before="240" w:after="60"/>
    </w:pPr>
    <w:rPr>
      <w:sz w:val="20"/>
    </w:rPr>
  </w:style>
  <w:style w:type="paragraph" w:customStyle="1" w:styleId="SubHeading1">
    <w:name w:val="SubHeading1"/>
    <w:basedOn w:val="HeadingBase"/>
    <w:rsid w:val="00CC319E"/>
    <w:pPr>
      <w:spacing w:before="240" w:after="60"/>
    </w:pPr>
    <w:rPr>
      <w:color w:val="918585"/>
      <w:sz w:val="22"/>
    </w:rPr>
  </w:style>
  <w:style w:type="paragraph" w:customStyle="1" w:styleId="SideHeading">
    <w:name w:val="Side Heading"/>
    <w:basedOn w:val="HeadingBase"/>
    <w:rsid w:val="00CC3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19E"/>
    <w:pPr>
      <w:numPr>
        <w:numId w:val="10"/>
      </w:numPr>
    </w:pPr>
  </w:style>
  <w:style w:type="paragraph" w:styleId="PlainText">
    <w:name w:val="Plain Text"/>
    <w:basedOn w:val="Normal"/>
    <w:link w:val="PlainTextChar"/>
    <w:rsid w:val="00CC319E"/>
    <w:rPr>
      <w:sz w:val="20"/>
    </w:rPr>
  </w:style>
  <w:style w:type="character" w:customStyle="1" w:styleId="PlainTextChar">
    <w:name w:val="Plain Text Char"/>
    <w:basedOn w:val="DefaultParagraphFont"/>
    <w:link w:val="PlainText"/>
    <w:rsid w:val="00CC319E"/>
    <w:rPr>
      <w:rFonts w:ascii="Courier New" w:eastAsia="Times New Roman" w:hAnsi="Courier New" w:cs="Times New Roman"/>
      <w:sz w:val="20"/>
      <w:szCs w:val="20"/>
      <w:lang w:eastAsia="en-US"/>
    </w:rPr>
  </w:style>
  <w:style w:type="character" w:customStyle="1" w:styleId="MenuOption">
    <w:name w:val="Menu Option"/>
    <w:basedOn w:val="DefaultParagraphFont"/>
    <w:rsid w:val="00CC319E"/>
    <w:rPr>
      <w:b/>
      <w:smallCaps/>
    </w:rPr>
  </w:style>
  <w:style w:type="paragraph" w:customStyle="1" w:styleId="TableListNumber">
    <w:name w:val="Table List Number"/>
    <w:basedOn w:val="ListNumber"/>
    <w:rsid w:val="00CC319E"/>
    <w:pPr>
      <w:numPr>
        <w:numId w:val="0"/>
      </w:numPr>
    </w:pPr>
  </w:style>
  <w:style w:type="paragraph" w:styleId="TOC4">
    <w:name w:val="toc 4"/>
    <w:basedOn w:val="TOCBase"/>
    <w:next w:val="Normal"/>
    <w:semiHidden/>
    <w:rsid w:val="00CC319E"/>
    <w:pPr>
      <w:tabs>
        <w:tab w:val="right" w:leader="dot" w:pos="9071"/>
      </w:tabs>
      <w:ind w:left="1701"/>
    </w:pPr>
  </w:style>
  <w:style w:type="paragraph" w:customStyle="1" w:styleId="ListAlpha">
    <w:name w:val="List Alpha"/>
    <w:basedOn w:val="List"/>
    <w:rsid w:val="00CC319E"/>
    <w:pPr>
      <w:numPr>
        <w:numId w:val="8"/>
      </w:numPr>
    </w:pPr>
  </w:style>
  <w:style w:type="paragraph" w:customStyle="1" w:styleId="ListAlpha2">
    <w:name w:val="List Alpha 2"/>
    <w:basedOn w:val="List2"/>
    <w:rsid w:val="00CC319E"/>
    <w:pPr>
      <w:numPr>
        <w:numId w:val="7"/>
      </w:numPr>
    </w:pPr>
  </w:style>
  <w:style w:type="paragraph" w:styleId="List2">
    <w:name w:val="List 2"/>
    <w:basedOn w:val="BodyText"/>
    <w:rsid w:val="00CC319E"/>
    <w:pPr>
      <w:tabs>
        <w:tab w:val="left" w:pos="680"/>
      </w:tabs>
      <w:spacing w:before="60" w:after="60"/>
      <w:ind w:left="680" w:hanging="340"/>
    </w:pPr>
  </w:style>
  <w:style w:type="paragraph" w:styleId="List3">
    <w:name w:val="List 3"/>
    <w:basedOn w:val="BodyText"/>
    <w:rsid w:val="00CC319E"/>
    <w:pPr>
      <w:tabs>
        <w:tab w:val="left" w:pos="1021"/>
      </w:tabs>
      <w:spacing w:before="60" w:after="60"/>
      <w:ind w:left="1020" w:hanging="340"/>
    </w:pPr>
  </w:style>
  <w:style w:type="paragraph" w:styleId="List4">
    <w:name w:val="List 4"/>
    <w:basedOn w:val="BodyText"/>
    <w:rsid w:val="00CC319E"/>
    <w:pPr>
      <w:tabs>
        <w:tab w:val="left" w:pos="1361"/>
      </w:tabs>
      <w:spacing w:before="60" w:after="60"/>
      <w:ind w:left="1361" w:hanging="340"/>
    </w:pPr>
  </w:style>
  <w:style w:type="paragraph" w:styleId="List5">
    <w:name w:val="List 5"/>
    <w:basedOn w:val="BodyText"/>
    <w:rsid w:val="00CC319E"/>
    <w:pPr>
      <w:tabs>
        <w:tab w:val="left" w:pos="1701"/>
      </w:tabs>
      <w:spacing w:before="60" w:after="60"/>
      <w:ind w:left="1701" w:hanging="340"/>
    </w:pPr>
  </w:style>
  <w:style w:type="paragraph" w:styleId="ListBullet3">
    <w:name w:val="List Bullet 3"/>
    <w:basedOn w:val="List3"/>
    <w:rsid w:val="00CC319E"/>
    <w:pPr>
      <w:numPr>
        <w:numId w:val="13"/>
      </w:numPr>
      <w:tabs>
        <w:tab w:val="clear" w:pos="1021"/>
      </w:tabs>
      <w:ind w:left="1037" w:hanging="357"/>
    </w:pPr>
  </w:style>
  <w:style w:type="paragraph" w:styleId="ListBullet4">
    <w:name w:val="List Bullet 4"/>
    <w:basedOn w:val="List4"/>
    <w:rsid w:val="00CC319E"/>
    <w:pPr>
      <w:numPr>
        <w:numId w:val="2"/>
      </w:numPr>
      <w:tabs>
        <w:tab w:val="clear" w:pos="1361"/>
      </w:tabs>
    </w:pPr>
  </w:style>
  <w:style w:type="paragraph" w:styleId="ListBullet5">
    <w:name w:val="List Bullet 5"/>
    <w:basedOn w:val="List5"/>
    <w:rsid w:val="00CC319E"/>
    <w:pPr>
      <w:numPr>
        <w:numId w:val="3"/>
      </w:numPr>
    </w:pPr>
  </w:style>
  <w:style w:type="paragraph" w:styleId="ListContinue2">
    <w:name w:val="List Continue 2"/>
    <w:basedOn w:val="List2"/>
    <w:rsid w:val="00CC319E"/>
    <w:pPr>
      <w:ind w:firstLine="0"/>
    </w:pPr>
  </w:style>
  <w:style w:type="paragraph" w:styleId="ListContinue3">
    <w:name w:val="List Continue 3"/>
    <w:basedOn w:val="List3"/>
    <w:rsid w:val="00CC319E"/>
    <w:pPr>
      <w:ind w:left="1021" w:firstLine="0"/>
    </w:pPr>
  </w:style>
  <w:style w:type="paragraph" w:styleId="ListContinue4">
    <w:name w:val="List Continue 4"/>
    <w:basedOn w:val="List4"/>
    <w:rsid w:val="00CC319E"/>
    <w:pPr>
      <w:ind w:firstLine="0"/>
    </w:pPr>
  </w:style>
  <w:style w:type="paragraph" w:styleId="ListContinue5">
    <w:name w:val="List Continue 5"/>
    <w:basedOn w:val="List5"/>
    <w:rsid w:val="00CC319E"/>
    <w:pPr>
      <w:ind w:firstLine="0"/>
    </w:pPr>
  </w:style>
  <w:style w:type="paragraph" w:styleId="ListNumber3">
    <w:name w:val="List Number 3"/>
    <w:basedOn w:val="List3"/>
    <w:rsid w:val="00CC319E"/>
    <w:pPr>
      <w:numPr>
        <w:numId w:val="4"/>
      </w:numPr>
    </w:pPr>
  </w:style>
  <w:style w:type="paragraph" w:styleId="ListNumber4">
    <w:name w:val="List Number 4"/>
    <w:basedOn w:val="List4"/>
    <w:rsid w:val="00CC319E"/>
    <w:pPr>
      <w:numPr>
        <w:numId w:val="5"/>
      </w:numPr>
    </w:pPr>
  </w:style>
  <w:style w:type="paragraph" w:styleId="ListNumber5">
    <w:name w:val="List Number 5"/>
    <w:basedOn w:val="List5"/>
    <w:rsid w:val="00CC319E"/>
    <w:pPr>
      <w:numPr>
        <w:numId w:val="6"/>
      </w:numPr>
    </w:pPr>
  </w:style>
  <w:style w:type="paragraph" w:styleId="BlockText">
    <w:name w:val="Block Text"/>
    <w:basedOn w:val="Normal"/>
    <w:rsid w:val="00CC319E"/>
    <w:pPr>
      <w:spacing w:after="120"/>
      <w:ind w:left="1440" w:right="1440"/>
    </w:pPr>
  </w:style>
  <w:style w:type="character" w:customStyle="1" w:styleId="Subscript">
    <w:name w:val="Subscript"/>
    <w:basedOn w:val="DefaultParagraphFont"/>
    <w:rsid w:val="00CC319E"/>
    <w:rPr>
      <w:sz w:val="16"/>
      <w:vertAlign w:val="subscript"/>
    </w:rPr>
  </w:style>
  <w:style w:type="character" w:customStyle="1" w:styleId="Superscript">
    <w:name w:val="Superscript"/>
    <w:basedOn w:val="DefaultParagraphFont"/>
    <w:rsid w:val="00CC319E"/>
    <w:rPr>
      <w:sz w:val="16"/>
      <w:vertAlign w:val="superscript"/>
    </w:rPr>
  </w:style>
  <w:style w:type="character" w:customStyle="1" w:styleId="Symbols">
    <w:name w:val="Symbols"/>
    <w:basedOn w:val="DefaultParagraphFont"/>
    <w:rsid w:val="00CC319E"/>
    <w:rPr>
      <w:rFonts w:ascii="Symbol" w:hAnsi="Symbol"/>
    </w:rPr>
  </w:style>
  <w:style w:type="character" w:customStyle="1" w:styleId="MenuOptions">
    <w:name w:val="Menu Options"/>
    <w:basedOn w:val="DefaultParagraphFont"/>
    <w:rsid w:val="00CC319E"/>
    <w:rPr>
      <w:rFonts w:ascii="Arial Narrow" w:hAnsi="Arial Narrow"/>
      <w:smallCaps/>
    </w:rPr>
  </w:style>
  <w:style w:type="character" w:customStyle="1" w:styleId="Buttons">
    <w:name w:val="Buttons"/>
    <w:basedOn w:val="DefaultParagraphFont"/>
    <w:rsid w:val="00CC319E"/>
    <w:rPr>
      <w:b/>
    </w:rPr>
  </w:style>
  <w:style w:type="character" w:customStyle="1" w:styleId="Underlined">
    <w:name w:val="Underlined"/>
    <w:basedOn w:val="DefaultParagraphFont"/>
    <w:rsid w:val="00CC319E"/>
    <w:rPr>
      <w:u w:val="single"/>
    </w:rPr>
  </w:style>
  <w:style w:type="paragraph" w:customStyle="1" w:styleId="TableBodyTextRight">
    <w:name w:val="Table Body Text Right"/>
    <w:basedOn w:val="TableBodyText"/>
    <w:rsid w:val="00CC319E"/>
    <w:pPr>
      <w:widowControl w:val="0"/>
      <w:autoSpaceDE w:val="0"/>
      <w:autoSpaceDN w:val="0"/>
      <w:adjustRightInd w:val="0"/>
      <w:jc w:val="right"/>
    </w:pPr>
    <w:rPr>
      <w:rFonts w:cs="Arial"/>
      <w:szCs w:val="18"/>
    </w:rPr>
  </w:style>
  <w:style w:type="paragraph" w:customStyle="1" w:styleId="CopyrightText">
    <w:name w:val="Copyright Text"/>
    <w:basedOn w:val="BodyText"/>
    <w:rsid w:val="00CC319E"/>
    <w:rPr>
      <w:sz w:val="18"/>
    </w:rPr>
  </w:style>
  <w:style w:type="paragraph" w:customStyle="1" w:styleId="BodySmallRight">
    <w:name w:val="Body Small Right"/>
    <w:basedOn w:val="BodyTextRight"/>
    <w:rsid w:val="00CC319E"/>
    <w:rPr>
      <w:sz w:val="18"/>
      <w:szCs w:val="18"/>
    </w:rPr>
  </w:style>
  <w:style w:type="paragraph" w:customStyle="1" w:styleId="MarginEdition">
    <w:name w:val="Margin Edition"/>
    <w:basedOn w:val="MarginNote"/>
    <w:rsid w:val="00CC319E"/>
    <w:pPr>
      <w:spacing w:before="0" w:after="0"/>
    </w:pPr>
    <w:rPr>
      <w:rFonts w:ascii="Times New Roman" w:hAnsi="Times New Roman"/>
      <w:color w:val="999999"/>
    </w:rPr>
  </w:style>
  <w:style w:type="paragraph" w:customStyle="1" w:styleId="Spacer">
    <w:name w:val="Spacer"/>
    <w:basedOn w:val="Normal"/>
    <w:rsid w:val="00CC319E"/>
    <w:rPr>
      <w:sz w:val="2"/>
      <w:szCs w:val="2"/>
    </w:rPr>
  </w:style>
  <w:style w:type="character" w:customStyle="1" w:styleId="Small">
    <w:name w:val="Small"/>
    <w:basedOn w:val="DefaultParagraphFont"/>
    <w:rsid w:val="00CC319E"/>
    <w:rPr>
      <w:sz w:val="16"/>
    </w:rPr>
  </w:style>
  <w:style w:type="paragraph" w:customStyle="1" w:styleId="WideTable">
    <w:name w:val="Wide Table"/>
    <w:basedOn w:val="Normal"/>
    <w:rsid w:val="00CC319E"/>
    <w:pPr>
      <w:ind w:left="-1418"/>
    </w:pPr>
    <w:rPr>
      <w:sz w:val="2"/>
      <w:szCs w:val="2"/>
    </w:rPr>
  </w:style>
  <w:style w:type="character" w:styleId="PageNumber">
    <w:name w:val="page number"/>
    <w:basedOn w:val="DefaultParagraphFont"/>
    <w:rsid w:val="00CC319E"/>
  </w:style>
  <w:style w:type="paragraph" w:styleId="Quote">
    <w:name w:val="Quote"/>
    <w:basedOn w:val="Heading1"/>
    <w:link w:val="QuoteChar"/>
    <w:qFormat/>
    <w:rsid w:val="00CC319E"/>
    <w:rPr>
      <w:b w:val="0"/>
      <w:sz w:val="72"/>
      <w:szCs w:val="72"/>
      <w:lang w:val="en-NZ"/>
    </w:rPr>
  </w:style>
  <w:style w:type="character" w:customStyle="1" w:styleId="QuoteChar">
    <w:name w:val="Quote Char"/>
    <w:basedOn w:val="DefaultParagraphFont"/>
    <w:link w:val="Quote"/>
    <w:rsid w:val="00CC3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19E"/>
    <w:pPr>
      <w:pageBreakBefore/>
    </w:pPr>
  </w:style>
  <w:style w:type="paragraph" w:customStyle="1" w:styleId="Border">
    <w:name w:val="Border"/>
    <w:basedOn w:val="Normal"/>
    <w:qFormat/>
    <w:rsid w:val="00CC3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19E"/>
    <w:rPr>
      <w:b/>
      <w:bCs/>
      <w:i/>
      <w:iCs/>
      <w:color w:val="auto"/>
    </w:rPr>
  </w:style>
  <w:style w:type="paragraph" w:styleId="IntenseQuote">
    <w:name w:val="Intense Quote"/>
    <w:basedOn w:val="Normal"/>
    <w:next w:val="Normal"/>
    <w:link w:val="IntenseQuoteChar"/>
    <w:uiPriority w:val="30"/>
    <w:qFormat/>
    <w:rsid w:val="00CC3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19E"/>
    <w:rPr>
      <w:smallCaps/>
      <w:color w:val="auto"/>
      <w:u w:val="single"/>
    </w:rPr>
  </w:style>
  <w:style w:type="character" w:styleId="IntenseReference">
    <w:name w:val="Intense Reference"/>
    <w:basedOn w:val="DefaultParagraphFont"/>
    <w:uiPriority w:val="32"/>
    <w:qFormat/>
    <w:rsid w:val="00CC319E"/>
    <w:rPr>
      <w:b/>
      <w:bCs/>
      <w:smallCaps/>
      <w:color w:val="auto"/>
      <w:spacing w:val="5"/>
      <w:u w:val="single"/>
    </w:rPr>
  </w:style>
  <w:style w:type="paragraph" w:customStyle="1" w:styleId="2ColumnHeading">
    <w:name w:val="2Column Heading"/>
    <w:basedOn w:val="BodyText"/>
    <w:qFormat/>
    <w:rsid w:val="00CC319E"/>
    <w:pPr>
      <w:spacing w:after="60"/>
      <w:ind w:left="-2268"/>
    </w:pPr>
    <w:rPr>
      <w:b/>
    </w:rPr>
  </w:style>
  <w:style w:type="paragraph" w:customStyle="1" w:styleId="Heading1TOC">
    <w:name w:val="Heading1 TOC"/>
    <w:basedOn w:val="Normal"/>
    <w:qFormat/>
    <w:rsid w:val="00CC319E"/>
    <w:pPr>
      <w:spacing w:before="240" w:after="120"/>
    </w:pPr>
    <w:rPr>
      <w:rFonts w:ascii="Times New Roman" w:hAnsi="Times New Roman"/>
      <w:b/>
      <w:sz w:val="32"/>
    </w:rPr>
  </w:style>
  <w:style w:type="paragraph" w:customStyle="1" w:styleId="Heading2TOC">
    <w:name w:val="Heading2 TOC"/>
    <w:basedOn w:val="Normal"/>
    <w:qFormat/>
    <w:rsid w:val="00CC319E"/>
    <w:pPr>
      <w:spacing w:before="240" w:after="60"/>
    </w:pPr>
    <w:rPr>
      <w:rFonts w:ascii="Times New Roman" w:hAnsi="Times New Roman"/>
      <w:b/>
      <w:sz w:val="28"/>
    </w:rPr>
  </w:style>
  <w:style w:type="character" w:customStyle="1" w:styleId="Underline">
    <w:name w:val="Underline"/>
    <w:basedOn w:val="DefaultParagraphFont"/>
    <w:qFormat/>
    <w:rsid w:val="00CC319E"/>
    <w:rPr>
      <w:u w:val="single"/>
    </w:rPr>
  </w:style>
  <w:style w:type="character" w:customStyle="1" w:styleId="BoldandItalics">
    <w:name w:val="Bold and Italics"/>
    <w:qFormat/>
    <w:rsid w:val="00CC319E"/>
    <w:rPr>
      <w:b/>
      <w:i/>
      <w:u w:val="none"/>
    </w:rPr>
  </w:style>
  <w:style w:type="paragraph" w:styleId="BalloonText">
    <w:name w:val="Balloon Text"/>
    <w:basedOn w:val="Normal"/>
    <w:link w:val="BalloonTextChar"/>
    <w:rsid w:val="00CC319E"/>
    <w:rPr>
      <w:rFonts w:ascii="Tahoma" w:hAnsi="Tahoma" w:cs="Tahoma"/>
      <w:sz w:val="16"/>
      <w:szCs w:val="16"/>
    </w:rPr>
  </w:style>
  <w:style w:type="character" w:customStyle="1" w:styleId="BalloonTextChar">
    <w:name w:val="Balloon Text Char"/>
    <w:basedOn w:val="DefaultParagraphFont"/>
    <w:link w:val="BalloonText"/>
    <w:rsid w:val="00CC3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19E"/>
    <w:rPr>
      <w:b/>
      <w:color w:val="660033"/>
      <w:spacing w:val="0"/>
    </w:rPr>
  </w:style>
  <w:style w:type="paragraph" w:customStyle="1" w:styleId="Nameditemlist">
    <w:name w:val="Named item list"/>
    <w:basedOn w:val="BodyText"/>
    <w:qFormat/>
    <w:rsid w:val="00CC319E"/>
    <w:pPr>
      <w:tabs>
        <w:tab w:val="left" w:pos="2835"/>
      </w:tabs>
      <w:ind w:left="2835" w:hanging="2835"/>
    </w:pPr>
  </w:style>
  <w:style w:type="paragraph" w:customStyle="1" w:styleId="BodyTextnopadding">
    <w:name w:val="Body Text no padding"/>
    <w:basedOn w:val="BodyText"/>
    <w:qFormat/>
    <w:rsid w:val="00CC319E"/>
    <w:pPr>
      <w:spacing w:before="0" w:after="0"/>
    </w:pPr>
  </w:style>
  <w:style w:type="paragraph" w:customStyle="1" w:styleId="BodyTextBold">
    <w:name w:val="Body Text Bold"/>
    <w:basedOn w:val="BodyText"/>
    <w:qFormat/>
    <w:rsid w:val="00CC319E"/>
    <w:rPr>
      <w:b/>
    </w:rPr>
  </w:style>
  <w:style w:type="character" w:styleId="Hyperlink">
    <w:name w:val="Hyperlink"/>
    <w:basedOn w:val="DefaultParagraphFont"/>
    <w:uiPriority w:val="99"/>
    <w:unhideWhenUsed/>
    <w:rsid w:val="00147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4691</Characters>
  <Application>Microsoft Office Word</Application>
  <DocSecurity>0</DocSecurity>
  <Lines>134</Lines>
  <Paragraphs>68</Paragraphs>
  <ScaleCrop>false</ScaleCrop>
  <Company>Author-it Software Corporation Ltd.</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HLTAHCS012 Provide support to older clients</dc:title>
  <dc:subject>Approved</dc:subject>
  <dc:creator>SkillsIQ</dc:creator>
  <cp:keywords>Release: 1</cp:keywords>
  <dc:description>Review Date: 12 April 2008</dc:description>
  <cp:lastModifiedBy>HSD_TPCMSd.prod</cp:lastModifiedBy>
  <cp:revision>3</cp:revision>
  <dcterms:created xsi:type="dcterms:W3CDTF">2023-07-02T01:10:00Z</dcterms:created>
  <dcterms:modified xsi:type="dcterms:W3CDTF">2023-07-02T01:10:00Z</dcterms:modified>
</cp:coreProperties>
</file>