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788" w:rsidP="000F2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HLTAHCS004 Complete comprehensive physical health assessments</w:t>
      </w:r>
      <w:r>
        <w:fldChar w:fldCharType="end"/>
      </w:r>
    </w:p>
    <w:p w:rsidR="000F2788" w:rsidP="000F2788">
      <w:pPr>
        <w:pStyle w:val="Version"/>
        <w:sectPr w:rsidSect="00DF1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504" w:rsidP="00DF1504">
      <w:pPr>
        <w:pStyle w:val="SuperHeading"/>
      </w:pPr>
      <w:r w:rsidRPr="00DF1504">
        <w:t>Assessment Requirements for HLTAHCS004 Complete comprehensive physical health assessments</w:t>
      </w:r>
    </w:p>
    <w:p w:rsidR="00000000" w:rsidRPr="00DF1504" w:rsidP="00DF1504">
      <w:pPr>
        <w:pStyle w:val="Heading1"/>
      </w:pPr>
      <w:bookmarkStart w:id="1" w:name="O_1277206"/>
      <w:bookmarkEnd w:id="1"/>
      <w:r w:rsidRPr="00DF1504">
        <w:t>Modification History</w:t>
      </w:r>
    </w:p>
    <w:p w:rsidR="00000000" w:rsidRPr="00DF1504" w:rsidP="000F2788">
      <w:pPr>
        <w:pStyle w:val="BodyText"/>
      </w:pPr>
      <w:r w:rsidRPr="00DF1504">
        <w:t>Not applicable.</w:t>
      </w:r>
    </w:p>
    <w:p w:rsidR="00000000" w:rsidRPr="00DF1504" w:rsidP="00DF1504">
      <w:pPr>
        <w:pStyle w:val="Heading1"/>
      </w:pPr>
      <w:bookmarkStart w:id="2" w:name="O_1277207"/>
      <w:bookmarkEnd w:id="2"/>
      <w:r w:rsidRPr="00DF1504">
        <w:t>Performance Evidence</w:t>
      </w:r>
    </w:p>
    <w:p w:rsidR="00000000" w:rsidRPr="00DF1504" w:rsidP="000F2788">
      <w:pPr>
        <w:pStyle w:val="BodyText"/>
      </w:pPr>
      <w:r w:rsidRPr="00DF1504">
        <w:t>Evidence of the abil</w:t>
      </w:r>
      <w:r w:rsidRPr="00DF1504">
        <w:t>ity to complete tasks outlined in elements and performance criteria of this unit in the context of the job role, and:</w:t>
      </w:r>
    </w:p>
    <w:p w:rsidR="00000000" w:rsidRPr="00DF1504" w:rsidP="00DF1504">
      <w:pPr>
        <w:pStyle w:val="ListBullet"/>
      </w:pPr>
      <w:r w:rsidRPr="00DF1504">
        <w:t>complete a comprehensive health assessment of a total of five Aboriginal and/or Torres Strait Islander clients to collectively include:</w:t>
      </w:r>
    </w:p>
    <w:p w:rsidR="00000000" w:rsidRPr="00DF1504" w:rsidP="00DF1504">
      <w:pPr>
        <w:pStyle w:val="ListBullet2"/>
      </w:pPr>
      <w:r w:rsidRPr="00DF1504">
        <w:t>females</w:t>
      </w:r>
    </w:p>
    <w:p w:rsidR="00000000" w:rsidRPr="00DF1504" w:rsidP="00DF1504">
      <w:pPr>
        <w:pStyle w:val="ListBullet2"/>
      </w:pPr>
      <w:r w:rsidRPr="00DF1504">
        <w:t>males</w:t>
      </w:r>
    </w:p>
    <w:p w:rsidR="00000000" w:rsidRPr="00DF1504" w:rsidP="00DF1504">
      <w:pPr>
        <w:pStyle w:val="ListBullet2"/>
      </w:pPr>
      <w:r w:rsidRPr="00DF1504">
        <w:t>people across the lifespan including children and adolescents through to the elderly</w:t>
      </w:r>
    </w:p>
    <w:p w:rsidR="00000000" w:rsidRPr="00DF1504" w:rsidP="00DF1504">
      <w:pPr>
        <w:pStyle w:val="ListBullet2"/>
      </w:pPr>
      <w:r w:rsidRPr="00DF1504">
        <w:t>people presenting with:</w:t>
      </w:r>
    </w:p>
    <w:p w:rsidR="00000000" w:rsidRPr="00DF1504" w:rsidP="00DF1504">
      <w:pPr>
        <w:pStyle w:val="ListBullet3"/>
      </w:pPr>
      <w:r w:rsidRPr="00DF1504">
        <w:t>complex acute conditions</w:t>
      </w:r>
    </w:p>
    <w:p w:rsidR="00000000" w:rsidRPr="00DF1504" w:rsidP="00DF1504">
      <w:pPr>
        <w:pStyle w:val="ListBullet3"/>
      </w:pPr>
      <w:r w:rsidRPr="00DF1504">
        <w:t>chronic disease</w:t>
      </w:r>
    </w:p>
    <w:p w:rsidR="00000000" w:rsidRPr="00DF1504" w:rsidP="00DF1504">
      <w:pPr>
        <w:pStyle w:val="ListBullet3"/>
      </w:pPr>
      <w:r w:rsidRPr="00DF1504">
        <w:t>communicable disease</w:t>
      </w:r>
    </w:p>
    <w:p w:rsidR="00000000" w:rsidRPr="00DF1504" w:rsidP="00DF1504">
      <w:pPr>
        <w:pStyle w:val="ListBullet"/>
      </w:pPr>
      <w:r w:rsidRPr="00DF1504">
        <w:t>for each of the five clients, complete a head to toe physical examination and tests including:</w:t>
      </w:r>
    </w:p>
    <w:p w:rsidR="00000000" w:rsidRPr="00DF1504" w:rsidP="00DF1504">
      <w:pPr>
        <w:pStyle w:val="ListBullet2"/>
      </w:pPr>
      <w:r w:rsidRPr="00DF1504">
        <w:t>measurement of height, weight and waist circumference and calculation of body mass index</w:t>
      </w:r>
    </w:p>
    <w:p w:rsidR="00000000" w:rsidRPr="00DF1504" w:rsidP="00DF1504">
      <w:pPr>
        <w:pStyle w:val="ListBullet2"/>
      </w:pPr>
      <w:r w:rsidRPr="00DF1504">
        <w:t>measurement of temperature</w:t>
      </w:r>
    </w:p>
    <w:p w:rsidR="00000000" w:rsidRPr="00DF1504" w:rsidP="00DF1504">
      <w:pPr>
        <w:pStyle w:val="ListBullet2"/>
      </w:pPr>
      <w:r w:rsidRPr="00DF1504">
        <w:t>measurement of blood pressure, pulse rate an</w:t>
      </w:r>
      <w:r w:rsidRPr="00DF1504">
        <w:t>d rhythm</w:t>
      </w:r>
    </w:p>
    <w:p w:rsidR="00000000" w:rsidRPr="00DF1504" w:rsidP="00DF1504">
      <w:pPr>
        <w:pStyle w:val="ListBullet2"/>
      </w:pPr>
      <w:r w:rsidRPr="00DF1504">
        <w:t>measurement of lung function including respiratory and peak flow rate and spirometry breathing test</w:t>
      </w:r>
    </w:p>
    <w:p w:rsidR="00000000" w:rsidRPr="00DF1504" w:rsidP="00DF1504">
      <w:pPr>
        <w:pStyle w:val="ListBullet2"/>
      </w:pPr>
      <w:r w:rsidRPr="00DF1504">
        <w:t>examination of:</w:t>
      </w:r>
    </w:p>
    <w:p w:rsidR="00000000" w:rsidRPr="00DF1504" w:rsidP="00DF1504">
      <w:pPr>
        <w:pStyle w:val="ListBullet3"/>
      </w:pPr>
      <w:r w:rsidRPr="00DF1504">
        <w:t>eyes, including physical examination and vision test</w:t>
      </w:r>
    </w:p>
    <w:p w:rsidR="00000000" w:rsidRPr="00DF1504" w:rsidP="00DF1504">
      <w:pPr>
        <w:pStyle w:val="ListBullet3"/>
      </w:pPr>
      <w:r w:rsidRPr="00DF1504">
        <w:t>ears and hearing, including otoscopy</w:t>
      </w:r>
    </w:p>
    <w:p w:rsidR="00000000" w:rsidRPr="00DF1504" w:rsidP="00DF1504">
      <w:pPr>
        <w:pStyle w:val="ListBullet3"/>
      </w:pPr>
      <w:r w:rsidRPr="00DF1504">
        <w:t>mouth, throat, teeth and gums</w:t>
      </w:r>
    </w:p>
    <w:p w:rsidR="00000000" w:rsidRPr="00DF1504" w:rsidP="00DF1504">
      <w:pPr>
        <w:pStyle w:val="ListBullet3"/>
      </w:pPr>
      <w:r w:rsidRPr="00DF1504">
        <w:t>skin and any wounds present</w:t>
      </w:r>
    </w:p>
    <w:p w:rsidR="00000000" w:rsidRPr="00DF1504" w:rsidP="00DF1504">
      <w:pPr>
        <w:pStyle w:val="ListBullet3"/>
      </w:pPr>
      <w:r w:rsidRPr="00DF1504">
        <w:t>hands and feet including observations for infective and fungal issues, oedema, abnormalities in the structure and shape, and nerve damage</w:t>
      </w:r>
    </w:p>
    <w:p w:rsidR="00000000" w:rsidRPr="00DF1504" w:rsidP="00DF1504">
      <w:pPr>
        <w:pStyle w:val="ListBullet3"/>
      </w:pPr>
      <w:r w:rsidRPr="00DF1504">
        <w:t>chest by visual and aural observation of respiration for any signs of congestion or distre</w:t>
      </w:r>
      <w:r w:rsidRPr="00DF1504">
        <w:t>ss</w:t>
      </w:r>
    </w:p>
    <w:p w:rsidR="00000000" w:rsidRPr="00DF1504" w:rsidP="00DF1504">
      <w:pPr>
        <w:pStyle w:val="ListBullet3"/>
      </w:pPr>
      <w:r w:rsidRPr="00DF1504">
        <w:t>abdomen by visual observation and palpation</w:t>
      </w:r>
    </w:p>
    <w:p w:rsidR="00000000" w:rsidRPr="00DF1504" w:rsidP="00DF1504">
      <w:pPr>
        <w:pStyle w:val="ListBullet2"/>
      </w:pPr>
      <w:r w:rsidRPr="00DF1504">
        <w:t>urinalysis via dipstick and pathology testing</w:t>
      </w:r>
    </w:p>
    <w:p w:rsidR="00000000" w:rsidRPr="00DF1504" w:rsidP="00DF1504">
      <w:pPr>
        <w:pStyle w:val="ListBullet2"/>
      </w:pPr>
      <w:r w:rsidRPr="00DF1504">
        <w:t>blood glucose test with a blood glucose testing meter</w:t>
      </w:r>
    </w:p>
    <w:p w:rsidR="00000000" w:rsidRPr="00DF1504" w:rsidP="00DF1504">
      <w:pPr>
        <w:pStyle w:val="ListBullet2"/>
      </w:pPr>
      <w:r w:rsidRPr="00DF1504">
        <w:t>examinations for specific presenting problems</w:t>
      </w:r>
    </w:p>
    <w:p w:rsidR="00000000" w:rsidRPr="00DF1504" w:rsidP="00DF1504">
      <w:pPr>
        <w:pStyle w:val="ListBullet"/>
      </w:pPr>
      <w:r w:rsidRPr="00DF1504">
        <w:t>for each of the five clients:</w:t>
      </w:r>
    </w:p>
    <w:p w:rsidR="00000000" w:rsidRPr="00DF1504" w:rsidP="00DF1504">
      <w:pPr>
        <w:pStyle w:val="ListBullet2"/>
      </w:pPr>
      <w:r w:rsidRPr="00DF1504">
        <w:t>determine requirements for specific pathology tests according their individual presentations</w:t>
      </w:r>
    </w:p>
    <w:p w:rsidR="00000000" w:rsidRPr="00DF1504" w:rsidP="00DF1504">
      <w:pPr>
        <w:pStyle w:val="ListBullet2"/>
      </w:pPr>
      <w:r w:rsidRPr="00DF1504">
        <w:t>collect and process blood samples for pathology testing</w:t>
      </w:r>
    </w:p>
    <w:p w:rsidR="00000000" w:rsidRPr="00DF1504" w:rsidP="00DF1504">
      <w:pPr>
        <w:pStyle w:val="ListBullet2"/>
      </w:pPr>
      <w:r w:rsidRPr="00DF1504">
        <w:t>process swabs (collected by self or client) for pathology testing</w:t>
      </w:r>
    </w:p>
    <w:p w:rsidR="00000000" w:rsidRPr="00DF1504" w:rsidP="00DF1504">
      <w:pPr>
        <w:pStyle w:val="ListBullet2"/>
      </w:pPr>
      <w:r w:rsidRPr="00DF1504">
        <w:t>evaluate the results of pathology tests</w:t>
      </w:r>
    </w:p>
    <w:p w:rsidR="00000000" w:rsidRPr="00DF1504" w:rsidP="00DF1504">
      <w:pPr>
        <w:pStyle w:val="ListBullet2"/>
      </w:pPr>
      <w:r w:rsidRPr="00DF1504">
        <w:t>e</w:t>
      </w:r>
      <w:r w:rsidRPr="00DF1504">
        <w:t>valuate all assessment information and report own interpretation of client’s current health status to health care team</w:t>
      </w:r>
    </w:p>
    <w:p w:rsidR="00000000" w:rsidRPr="00DF1504" w:rsidP="00DF1504">
      <w:pPr>
        <w:pStyle w:val="ListBullet2"/>
      </w:pPr>
      <w:r w:rsidRPr="00DF1504">
        <w:t>consult with the health care team to verify assessment results and confirm client’s health status</w:t>
      </w:r>
    </w:p>
    <w:p w:rsidR="00000000" w:rsidRPr="00DF1504" w:rsidP="00DF1504">
      <w:pPr>
        <w:pStyle w:val="ListBullet2"/>
      </w:pPr>
      <w:r w:rsidRPr="00DF1504">
        <w:t>discuss assessment outcomes with the cl</w:t>
      </w:r>
      <w:r w:rsidRPr="00DF1504">
        <w:t>ient</w:t>
      </w:r>
    </w:p>
    <w:p w:rsidR="00000000" w:rsidRPr="00DF1504" w:rsidP="00DF1504">
      <w:pPr>
        <w:pStyle w:val="ListBullet2"/>
      </w:pPr>
      <w:r w:rsidRPr="00DF1504">
        <w:t>document, in client’s records, accurate details of:</w:t>
      </w:r>
    </w:p>
    <w:p w:rsidR="00000000" w:rsidRPr="00DF1504" w:rsidP="00DF1504">
      <w:pPr>
        <w:pStyle w:val="ListBullet3"/>
      </w:pPr>
      <w:r w:rsidRPr="00DF1504">
        <w:t>medical and social history</w:t>
      </w:r>
    </w:p>
    <w:p w:rsidR="00000000" w:rsidRPr="00DF1504" w:rsidP="00DF1504">
      <w:pPr>
        <w:pStyle w:val="ListBullet3"/>
      </w:pPr>
      <w:r w:rsidRPr="00DF1504">
        <w:t>observations, examinations and tests completed</w:t>
      </w:r>
    </w:p>
    <w:p w:rsidR="00000000" w:rsidRPr="00DF1504" w:rsidP="00DF1504">
      <w:pPr>
        <w:pStyle w:val="ListBullet3"/>
      </w:pPr>
      <w:r w:rsidRPr="00DF1504">
        <w:t>evaluation notes about the health of each client</w:t>
      </w:r>
    </w:p>
    <w:p w:rsidR="00000000" w:rsidRPr="00DF1504" w:rsidP="00DF1504">
      <w:pPr>
        <w:pStyle w:val="ListBullet3"/>
      </w:pPr>
      <w:r w:rsidRPr="00DF1504">
        <w:t>information and referrals provided to the client</w:t>
      </w:r>
    </w:p>
    <w:p w:rsidR="00000000" w:rsidRPr="00DF1504" w:rsidP="00DF1504">
      <w:pPr>
        <w:pStyle w:val="ListBullet"/>
      </w:pPr>
      <w:r w:rsidRPr="00DF1504">
        <w:t>from assessments personally completed or from case study assessment documentation:</w:t>
      </w:r>
    </w:p>
    <w:p w:rsidR="00000000" w:rsidRPr="00DF1504" w:rsidP="00DF1504">
      <w:pPr>
        <w:pStyle w:val="ListBullet2"/>
      </w:pPr>
      <w:r w:rsidRPr="00DF1504">
        <w:t>identify signs of emerging comorbidity for two clients with existing chronic disease</w:t>
      </w:r>
    </w:p>
    <w:p w:rsidR="00000000" w:rsidRPr="00DF1504" w:rsidP="00DF1504">
      <w:pPr>
        <w:pStyle w:val="ListBullet2"/>
      </w:pPr>
      <w:r w:rsidRPr="00DF1504">
        <w:t>identify signs of the following conditions or diseases:</w:t>
      </w:r>
    </w:p>
    <w:p w:rsidR="00000000" w:rsidRPr="00DF1504" w:rsidP="00DF1504">
      <w:pPr>
        <w:pStyle w:val="ListBullet3"/>
      </w:pPr>
      <w:r w:rsidRPr="00DF1504">
        <w:t>cardiovascular disease</w:t>
      </w:r>
    </w:p>
    <w:p w:rsidR="00000000" w:rsidRPr="00DF1504" w:rsidP="00DF1504">
      <w:pPr>
        <w:pStyle w:val="ListBullet3"/>
      </w:pPr>
      <w:r w:rsidRPr="00DF1504">
        <w:t>acute or chronic respiratory disease, including asthma</w:t>
      </w:r>
    </w:p>
    <w:p w:rsidR="00000000" w:rsidRPr="00DF1504" w:rsidP="00DF1504">
      <w:pPr>
        <w:pStyle w:val="ListBullet3"/>
      </w:pPr>
      <w:r w:rsidRPr="00DF1504">
        <w:t>kidney disease</w:t>
      </w:r>
    </w:p>
    <w:p w:rsidR="00000000" w:rsidRPr="00DF1504" w:rsidP="00DF1504">
      <w:pPr>
        <w:pStyle w:val="ListBullet3"/>
      </w:pPr>
      <w:r w:rsidRPr="00DF1504">
        <w:t>liver disease</w:t>
      </w:r>
    </w:p>
    <w:p w:rsidR="00000000" w:rsidRPr="00DF1504" w:rsidP="00DF1504">
      <w:pPr>
        <w:pStyle w:val="ListBullet3"/>
      </w:pPr>
      <w:r w:rsidRPr="00DF1504">
        <w:t>cancer</w:t>
      </w:r>
    </w:p>
    <w:p w:rsidR="00000000" w:rsidRPr="00DF1504" w:rsidP="00DF1504">
      <w:pPr>
        <w:pStyle w:val="ListBullet3"/>
      </w:pPr>
      <w:r w:rsidRPr="00DF1504">
        <w:t>diabetes</w:t>
      </w:r>
    </w:p>
    <w:p w:rsidR="00000000" w:rsidRPr="00DF1504" w:rsidP="00DF1504">
      <w:pPr>
        <w:pStyle w:val="ListBullet3"/>
      </w:pPr>
      <w:r w:rsidRPr="00DF1504">
        <w:t>musculoskeletal conditions, including arthritis</w:t>
      </w:r>
    </w:p>
    <w:p w:rsidR="00000000" w:rsidRPr="00DF1504" w:rsidP="00DF1504">
      <w:pPr>
        <w:pStyle w:val="ListBullet3"/>
      </w:pPr>
      <w:r w:rsidRPr="00DF1504">
        <w:t>eye, ear and oral disease</w:t>
      </w:r>
    </w:p>
    <w:p w:rsidR="00000000" w:rsidRPr="00DF1504" w:rsidP="00DF1504">
      <w:pPr>
        <w:pStyle w:val="ListBullet3"/>
      </w:pPr>
      <w:r w:rsidRPr="00DF1504">
        <w:t>communicable disease</w:t>
      </w:r>
    </w:p>
    <w:p w:rsidR="00000000" w:rsidRPr="00DF1504" w:rsidP="00DF1504">
      <w:pPr>
        <w:pStyle w:val="ListBullet2"/>
      </w:pPr>
      <w:r w:rsidRPr="00DF1504">
        <w:t xml:space="preserve">identify one notifiable disease and implement procedures to </w:t>
      </w:r>
      <w:r w:rsidRPr="00DF1504">
        <w:t>notify.</w:t>
      </w:r>
    </w:p>
    <w:p w:rsidR="00000000" w:rsidRPr="00DF1504" w:rsidP="00DF1504">
      <w:pPr>
        <w:pStyle w:val="AllowPageBreak"/>
      </w:pPr>
    </w:p>
    <w:p w:rsidR="00000000" w:rsidRPr="00DF1504" w:rsidP="00DF1504">
      <w:pPr>
        <w:pStyle w:val="Heading1"/>
      </w:pPr>
      <w:bookmarkStart w:id="3" w:name="O_1277208"/>
      <w:bookmarkEnd w:id="3"/>
      <w:r w:rsidRPr="00DF1504">
        <w:t>Knowledge Evidence</w:t>
      </w:r>
    </w:p>
    <w:p w:rsidR="00000000" w:rsidRPr="00DF1504" w:rsidP="000F2788">
      <w:pPr>
        <w:pStyle w:val="BodyText"/>
      </w:pPr>
      <w:r w:rsidRPr="00DF1504">
        <w:t>Demonstrated knowledge required to complete the tasks outlined in elements and performance criteria of this unit:</w:t>
      </w:r>
    </w:p>
    <w:p w:rsidR="00000000" w:rsidRPr="00DF1504" w:rsidP="00DF1504">
      <w:pPr>
        <w:pStyle w:val="ListBullet"/>
      </w:pPr>
      <w:r w:rsidRPr="00DF1504">
        <w:t>organisational policies and procedures for:</w:t>
      </w:r>
    </w:p>
    <w:p w:rsidR="00000000" w:rsidRPr="00DF1504" w:rsidP="00DF1504">
      <w:pPr>
        <w:pStyle w:val="ListBullet2"/>
      </w:pPr>
      <w:r w:rsidRPr="00DF1504">
        <w:t>maintaining client confidentiality</w:t>
      </w:r>
    </w:p>
    <w:p w:rsidR="00000000" w:rsidRPr="00DF1504" w:rsidP="00DF1504">
      <w:pPr>
        <w:pStyle w:val="ListBullet2"/>
      </w:pPr>
      <w:r w:rsidRPr="00DF1504">
        <w:t>documenting health assessments</w:t>
      </w:r>
    </w:p>
    <w:p w:rsidR="00000000" w:rsidRPr="00DF1504" w:rsidP="00DF1504">
      <w:pPr>
        <w:pStyle w:val="ListBullet"/>
      </w:pPr>
      <w:r w:rsidRPr="00DF1504">
        <w:t>local state or territory legal requirements, and associated organisational procedures for reporting notifiable communicable diseases</w:t>
      </w:r>
    </w:p>
    <w:p w:rsidR="00000000" w:rsidRPr="00DF1504" w:rsidP="00DF1504">
      <w:pPr>
        <w:pStyle w:val="ListBullet"/>
      </w:pPr>
      <w:r w:rsidRPr="00DF1504">
        <w:t>organisational responsibilities and role boundaries of those involved in comprehensive, com</w:t>
      </w:r>
      <w:r w:rsidRPr="00DF1504">
        <w:t>plex health assessments:</w:t>
      </w:r>
    </w:p>
    <w:p w:rsidR="00000000" w:rsidRPr="00DF1504" w:rsidP="00DF1504">
      <w:pPr>
        <w:pStyle w:val="ListBullet2"/>
      </w:pPr>
      <w:r w:rsidRPr="00DF1504">
        <w:t>Aboriginal and/or Torres Strait Islander health practitioners</w:t>
      </w:r>
    </w:p>
    <w:p w:rsidR="00000000" w:rsidRPr="00DF1504" w:rsidP="00DF1504">
      <w:pPr>
        <w:pStyle w:val="ListBullet2"/>
      </w:pPr>
      <w:r w:rsidRPr="00DF1504">
        <w:t>medical practitioners, registered nurses and other members of the multidisciplinary care team</w:t>
      </w:r>
    </w:p>
    <w:p w:rsidR="00000000" w:rsidRPr="00DF1504" w:rsidP="00DF1504">
      <w:pPr>
        <w:pStyle w:val="ListBullet"/>
      </w:pPr>
      <w:r w:rsidRPr="00DF1504">
        <w:t>the role of standard treatment protocols in health assessments:</w:t>
      </w:r>
    </w:p>
    <w:p w:rsidR="00000000" w:rsidRPr="00DF1504" w:rsidP="00DF1504">
      <w:pPr>
        <w:pStyle w:val="ListBullet2"/>
      </w:pPr>
      <w:r w:rsidRPr="00DF1504">
        <w:t>types th</w:t>
      </w:r>
      <w:r w:rsidRPr="00DF1504">
        <w:t>at are used by primary health care organisations including Standard Treatment Manuals (STM) and how to access</w:t>
      </w:r>
    </w:p>
    <w:p w:rsidR="00000000" w:rsidRPr="00DF1504" w:rsidP="00DF1504">
      <w:pPr>
        <w:pStyle w:val="ListBullet2"/>
      </w:pPr>
      <w:r w:rsidRPr="00DF1504">
        <w:t>purpose, format and inclusions</w:t>
      </w:r>
    </w:p>
    <w:p w:rsidR="00000000" w:rsidRPr="00DF1504" w:rsidP="00DF1504">
      <w:pPr>
        <w:pStyle w:val="ListBullet2"/>
      </w:pPr>
      <w:r w:rsidRPr="00DF1504">
        <w:t>how to use to identify physical health assessment requirements for clients with complex needs</w:t>
      </w:r>
    </w:p>
    <w:p w:rsidR="00000000" w:rsidRPr="00DF1504" w:rsidP="00DF1504">
      <w:pPr>
        <w:pStyle w:val="ListBullet"/>
      </w:pPr>
      <w:r w:rsidRPr="00DF1504">
        <w:t>key information coll</w:t>
      </w:r>
      <w:r w:rsidRPr="00DF1504">
        <w:t>ected and recorded in medical and social histories for health assessments and how this may differ according to the age of the client</w:t>
      </w:r>
    </w:p>
    <w:p w:rsidR="00000000" w:rsidRPr="00DF1504" w:rsidP="00DF1504">
      <w:pPr>
        <w:pStyle w:val="ListBullet"/>
      </w:pPr>
      <w:r w:rsidRPr="00DF1504">
        <w:t>key elements of comprehensive physical health assessments and how types of examinations and tests may differ according to t</w:t>
      </w:r>
      <w:r w:rsidRPr="00DF1504">
        <w:t>he age of the client and their presentation</w:t>
      </w:r>
    </w:p>
    <w:p w:rsidR="00000000" w:rsidRPr="00DF1504" w:rsidP="00DF1504">
      <w:pPr>
        <w:pStyle w:val="ListBullet"/>
      </w:pPr>
      <w:r w:rsidRPr="00DF1504">
        <w:t>the meaning of primary and secondary survey in health assessments</w:t>
      </w:r>
    </w:p>
    <w:p w:rsidR="00000000" w:rsidRPr="00DF1504" w:rsidP="00DF1504">
      <w:pPr>
        <w:pStyle w:val="ListBullet"/>
      </w:pPr>
      <w:r w:rsidRPr="00DF1504">
        <w:t xml:space="preserve">the value of an opportunistic approach to chronic and communicable disease surveillance including </w:t>
      </w:r>
      <w:r w:rsidRPr="00DF1504">
        <w:t>completing comprehensive health assessments and tests as people come to the clinic for any reason</w:t>
      </w:r>
    </w:p>
    <w:p w:rsidR="00000000" w:rsidRPr="00DF1504" w:rsidP="00DF1504">
      <w:pPr>
        <w:pStyle w:val="ListBullet"/>
      </w:pPr>
      <w:r w:rsidRPr="00DF1504">
        <w:t>different types of infection control precautions and when these would be used for different types of physical examinations and collection of specimens for pat</w:t>
      </w:r>
      <w:r w:rsidRPr="00DF1504">
        <w:t>hology testing</w:t>
      </w:r>
    </w:p>
    <w:p w:rsidR="00000000" w:rsidRPr="00DF1504" w:rsidP="00DF1504">
      <w:pPr>
        <w:pStyle w:val="ListBullet"/>
      </w:pPr>
      <w:r w:rsidRPr="00DF1504">
        <w:t>equipment and procedures for health examinations and tests, and ‘normal’ reference range of outcomes for adults:</w:t>
      </w:r>
    </w:p>
    <w:p w:rsidR="00000000" w:rsidRPr="00DF1504" w:rsidP="00DF1504">
      <w:pPr>
        <w:pStyle w:val="ListBullet2"/>
      </w:pPr>
      <w:r w:rsidRPr="00DF1504">
        <w:t>height, weight, waist circumference and body mass index</w:t>
      </w:r>
    </w:p>
    <w:p w:rsidR="00000000" w:rsidRPr="00DF1504" w:rsidP="00DF1504">
      <w:pPr>
        <w:pStyle w:val="ListBullet2"/>
      </w:pPr>
      <w:r w:rsidRPr="00DF1504">
        <w:t>temperature</w:t>
      </w:r>
    </w:p>
    <w:p w:rsidR="00000000" w:rsidRPr="00DF1504" w:rsidP="00DF1504">
      <w:pPr>
        <w:pStyle w:val="ListBullet2"/>
      </w:pPr>
      <w:r w:rsidRPr="00DF1504">
        <w:t>blood pressure, pulse rate and rhythm</w:t>
      </w:r>
    </w:p>
    <w:p w:rsidR="00000000" w:rsidRPr="00DF1504" w:rsidP="00DF1504">
      <w:pPr>
        <w:pStyle w:val="ListBullet2"/>
      </w:pPr>
      <w:r w:rsidRPr="00DF1504">
        <w:t>lung function includi</w:t>
      </w:r>
      <w:r w:rsidRPr="00DF1504">
        <w:t>ng respiratory and peak flow rate, and spirometry tests</w:t>
      </w:r>
    </w:p>
    <w:p w:rsidR="00000000" w:rsidRPr="00DF1504" w:rsidP="00DF1504">
      <w:pPr>
        <w:pStyle w:val="ListBullet2"/>
      </w:pPr>
      <w:r w:rsidRPr="00DF1504">
        <w:t>examination of:</w:t>
      </w:r>
    </w:p>
    <w:p w:rsidR="00000000" w:rsidRPr="00DF1504" w:rsidP="00DF1504">
      <w:pPr>
        <w:pStyle w:val="ListBullet3"/>
      </w:pPr>
      <w:r w:rsidRPr="00DF1504">
        <w:t>eyes, including physical examination and vision test</w:t>
      </w:r>
    </w:p>
    <w:p w:rsidR="00000000" w:rsidRPr="00DF1504" w:rsidP="00DF1504">
      <w:pPr>
        <w:pStyle w:val="ListBullet3"/>
      </w:pPr>
      <w:r w:rsidRPr="00DF1504">
        <w:t>ears and hearing, including otoscopy</w:t>
      </w:r>
    </w:p>
    <w:p w:rsidR="00000000" w:rsidRPr="00DF1504" w:rsidP="00DF1504">
      <w:pPr>
        <w:pStyle w:val="ListBullet3"/>
      </w:pPr>
      <w:r w:rsidRPr="00DF1504">
        <w:t>mouth, throat, teeth and gums</w:t>
      </w:r>
    </w:p>
    <w:p w:rsidR="00000000" w:rsidRPr="00DF1504" w:rsidP="00DF1504">
      <w:pPr>
        <w:pStyle w:val="ListBullet3"/>
      </w:pPr>
      <w:r w:rsidRPr="00DF1504">
        <w:t>skin and wounds</w:t>
      </w:r>
    </w:p>
    <w:p w:rsidR="00000000" w:rsidRPr="00DF1504" w:rsidP="00DF1504">
      <w:pPr>
        <w:pStyle w:val="ListBullet3"/>
      </w:pPr>
      <w:r w:rsidRPr="00DF1504">
        <w:t>hands and feet including observations for infective and fungal issues, oedema, abnormalities in the structure and shape, and nerve damage</w:t>
      </w:r>
    </w:p>
    <w:p w:rsidR="00000000" w:rsidRPr="00DF1504" w:rsidP="00DF1504">
      <w:pPr>
        <w:pStyle w:val="ListBullet3"/>
      </w:pPr>
      <w:r w:rsidRPr="00DF1504">
        <w:t>chest including visual and aural observation of respiration for any signs of congestion and distress</w:t>
      </w:r>
    </w:p>
    <w:p w:rsidR="00000000" w:rsidRPr="00DF1504" w:rsidP="00DF1504">
      <w:pPr>
        <w:pStyle w:val="ListBullet3"/>
      </w:pPr>
      <w:r w:rsidRPr="00DF1504">
        <w:t>abdomen including</w:t>
      </w:r>
      <w:r w:rsidRPr="00DF1504">
        <w:t xml:space="preserve"> visual observation and palpation</w:t>
      </w:r>
    </w:p>
    <w:p w:rsidR="00000000" w:rsidRPr="00DF1504" w:rsidP="00DF1504">
      <w:pPr>
        <w:pStyle w:val="ListBullet2"/>
      </w:pPr>
      <w:r w:rsidRPr="00DF1504">
        <w:t>urinalysis via dipstick testing</w:t>
      </w:r>
    </w:p>
    <w:p w:rsidR="00000000" w:rsidRPr="00DF1504" w:rsidP="00DF1504">
      <w:pPr>
        <w:pStyle w:val="ListBullet2"/>
      </w:pPr>
      <w:r w:rsidRPr="00DF1504">
        <w:t>blood glucose test with a blood glucose testing meter</w:t>
      </w:r>
    </w:p>
    <w:p w:rsidR="00000000" w:rsidRPr="00DF1504" w:rsidP="00DF1504">
      <w:pPr>
        <w:pStyle w:val="ListBullet"/>
      </w:pPr>
      <w:r w:rsidRPr="00DF1504">
        <w:t>pathology tests and where to locate information in Standard Treatment Manuals:</w:t>
      </w:r>
    </w:p>
    <w:p w:rsidR="00000000" w:rsidRPr="00DF1504" w:rsidP="00DF1504">
      <w:pPr>
        <w:pStyle w:val="ListBullet2"/>
      </w:pPr>
      <w:r w:rsidRPr="00DF1504">
        <w:t>full blood examination</w:t>
      </w:r>
    </w:p>
    <w:p w:rsidR="00000000" w:rsidRPr="00DF1504" w:rsidP="00DF1504">
      <w:pPr>
        <w:pStyle w:val="ListBullet2"/>
      </w:pPr>
      <w:r w:rsidRPr="00DF1504">
        <w:t>erythrocyte sedimentation rate (ESR)</w:t>
      </w:r>
    </w:p>
    <w:p w:rsidR="00000000" w:rsidRPr="00DF1504" w:rsidP="00DF1504">
      <w:pPr>
        <w:pStyle w:val="ListBullet2"/>
      </w:pPr>
      <w:r w:rsidRPr="00DF1504">
        <w:t>random and fasting blood glucose</w:t>
      </w:r>
    </w:p>
    <w:p w:rsidR="00000000" w:rsidRPr="00DF1504" w:rsidP="00DF1504">
      <w:pPr>
        <w:pStyle w:val="ListBullet2"/>
      </w:pPr>
      <w:r w:rsidRPr="00DF1504">
        <w:t>haemoglobin and glycated haemoglobin</w:t>
      </w:r>
    </w:p>
    <w:p w:rsidR="00000000" w:rsidRPr="00DF1504" w:rsidP="00DF1504">
      <w:pPr>
        <w:pStyle w:val="ListBullet2"/>
      </w:pPr>
      <w:r w:rsidRPr="00DF1504">
        <w:t>blood ketones</w:t>
      </w:r>
    </w:p>
    <w:p w:rsidR="00000000" w:rsidRPr="00DF1504" w:rsidP="00DF1504">
      <w:pPr>
        <w:pStyle w:val="ListBullet2"/>
      </w:pPr>
      <w:r w:rsidRPr="00DF1504">
        <w:t>electrolytes and creatinine</w:t>
      </w:r>
    </w:p>
    <w:p w:rsidR="00000000" w:rsidRPr="00DF1504" w:rsidP="00DF1504">
      <w:pPr>
        <w:pStyle w:val="ListBullet2"/>
      </w:pPr>
      <w:r w:rsidRPr="00DF1504">
        <w:t>liver function</w:t>
      </w:r>
    </w:p>
    <w:p w:rsidR="00000000" w:rsidRPr="00DF1504" w:rsidP="00DF1504">
      <w:pPr>
        <w:pStyle w:val="ListBullet2"/>
      </w:pPr>
      <w:r w:rsidRPr="00DF1504">
        <w:t>lipid profile</w:t>
      </w:r>
    </w:p>
    <w:p w:rsidR="00000000" w:rsidRPr="00DF1504" w:rsidP="00DF1504">
      <w:pPr>
        <w:pStyle w:val="ListBullet2"/>
      </w:pPr>
      <w:r w:rsidRPr="00DF1504">
        <w:t>thyroid function</w:t>
      </w:r>
    </w:p>
    <w:p w:rsidR="00000000" w:rsidRPr="00DF1504" w:rsidP="00DF1504">
      <w:pPr>
        <w:pStyle w:val="ListBullet2"/>
      </w:pPr>
      <w:r w:rsidRPr="00DF1504">
        <w:t>iron studies</w:t>
      </w:r>
    </w:p>
    <w:p w:rsidR="00000000" w:rsidRPr="00DF1504" w:rsidP="00DF1504">
      <w:pPr>
        <w:pStyle w:val="ListBullet2"/>
      </w:pPr>
      <w:r w:rsidRPr="00DF1504">
        <w:t>cardiac enzymes</w:t>
      </w:r>
    </w:p>
    <w:p w:rsidR="00000000" w:rsidRPr="00DF1504" w:rsidP="00DF1504">
      <w:pPr>
        <w:pStyle w:val="ListBullet2"/>
      </w:pPr>
      <w:r w:rsidRPr="00DF1504">
        <w:t>urinary albumin-creatinine ratio</w:t>
      </w:r>
    </w:p>
    <w:p w:rsidR="00000000" w:rsidRPr="00DF1504" w:rsidP="00DF1504">
      <w:pPr>
        <w:pStyle w:val="ListBullet2"/>
      </w:pPr>
      <w:r w:rsidRPr="00DF1504">
        <w:t>urine microscopy, culture and sensitivity</w:t>
      </w:r>
    </w:p>
    <w:p w:rsidR="00000000" w:rsidRPr="00DF1504" w:rsidP="00DF1504">
      <w:pPr>
        <w:pStyle w:val="ListBullet2"/>
      </w:pPr>
      <w:r w:rsidRPr="00DF1504">
        <w:t>microscopy, culture and sensitivities for infections via body fluid and swab collection</w:t>
      </w:r>
    </w:p>
    <w:p w:rsidR="00000000" w:rsidRPr="00DF1504" w:rsidP="00DF1504">
      <w:pPr>
        <w:pStyle w:val="ListBullet"/>
      </w:pPr>
      <w:r w:rsidRPr="00DF1504">
        <w:t>for each of the above listed pathology tests:</w:t>
      </w:r>
    </w:p>
    <w:p w:rsidR="00000000" w:rsidRPr="00DF1504" w:rsidP="00DF1504">
      <w:pPr>
        <w:pStyle w:val="ListBullet2"/>
      </w:pPr>
      <w:r w:rsidRPr="00DF1504">
        <w:t>indications including what signs and symptoms may trigger tests; what diseases or conditions are diagnosed and monitored using these tests</w:t>
      </w:r>
    </w:p>
    <w:p w:rsidR="00000000" w:rsidRPr="00DF1504" w:rsidP="00DF1504">
      <w:pPr>
        <w:pStyle w:val="ListBullet2"/>
      </w:pPr>
      <w:r w:rsidRPr="00DF1504">
        <w:t>correct methods of collection, storage and transport of specimens, and requirements for documentation</w:t>
      </w:r>
    </w:p>
    <w:p w:rsidR="00000000" w:rsidRPr="00DF1504" w:rsidP="00DF1504">
      <w:pPr>
        <w:pStyle w:val="ListBullet2"/>
      </w:pPr>
      <w:r w:rsidRPr="00DF1504">
        <w:t xml:space="preserve">‘normal’ range </w:t>
      </w:r>
      <w:r w:rsidRPr="00DF1504">
        <w:t>of test values</w:t>
      </w:r>
    </w:p>
    <w:p w:rsidR="00000000" w:rsidRPr="00DF1504" w:rsidP="00DF1504">
      <w:pPr>
        <w:pStyle w:val="ListBullet2"/>
      </w:pPr>
      <w:r w:rsidRPr="00DF1504">
        <w:t>the significance of results that vary significantly from the normal range and what types of conditions and diseases abnormal results may indicate</w:t>
      </w:r>
    </w:p>
    <w:p w:rsidR="00000000" w:rsidRPr="00DF1504" w:rsidP="00DF1504">
      <w:pPr>
        <w:pStyle w:val="ListBullet"/>
      </w:pPr>
      <w:r w:rsidRPr="00DF1504">
        <w:t>typical inclusions of pathology request forms, and the importance of accuracy when completing</w:t>
      </w:r>
    </w:p>
    <w:p w:rsidR="00000000" w:rsidRPr="00DF1504" w:rsidP="00DF1504">
      <w:pPr>
        <w:pStyle w:val="ListBullet"/>
      </w:pPr>
      <w:r w:rsidRPr="00DF1504">
        <w:t>understanding of anatomy and physiology sufficient to identify major body systems, associated organs and their functions:</w:t>
      </w:r>
    </w:p>
    <w:p w:rsidR="00000000" w:rsidRPr="00DF1504" w:rsidP="00DF1504">
      <w:pPr>
        <w:pStyle w:val="ListBullet2"/>
      </w:pPr>
      <w:r w:rsidRPr="00DF1504">
        <w:t>circulatory system</w:t>
      </w:r>
    </w:p>
    <w:p w:rsidR="00000000" w:rsidRPr="00DF1504" w:rsidP="00DF1504">
      <w:pPr>
        <w:pStyle w:val="ListBullet2"/>
      </w:pPr>
      <w:r w:rsidRPr="00DF1504">
        <w:t>digestive system</w:t>
      </w:r>
    </w:p>
    <w:p w:rsidR="00000000" w:rsidRPr="00DF1504" w:rsidP="00DF1504">
      <w:pPr>
        <w:pStyle w:val="ListBullet2"/>
      </w:pPr>
      <w:r w:rsidRPr="00DF1504">
        <w:t>endocrine system</w:t>
      </w:r>
    </w:p>
    <w:p w:rsidR="00000000" w:rsidRPr="00DF1504" w:rsidP="00DF1504">
      <w:pPr>
        <w:pStyle w:val="ListBullet2"/>
      </w:pPr>
      <w:r w:rsidRPr="00DF1504">
        <w:t>immune system</w:t>
      </w:r>
    </w:p>
    <w:p w:rsidR="00000000" w:rsidRPr="00DF1504" w:rsidP="00DF1504">
      <w:pPr>
        <w:pStyle w:val="ListBullet2"/>
      </w:pPr>
      <w:r w:rsidRPr="00DF1504">
        <w:t>integumentary system</w:t>
      </w:r>
    </w:p>
    <w:p w:rsidR="00000000" w:rsidRPr="00DF1504" w:rsidP="00DF1504">
      <w:pPr>
        <w:pStyle w:val="ListBullet2"/>
      </w:pPr>
      <w:r w:rsidRPr="00DF1504">
        <w:t>musculoskeletal system</w:t>
      </w:r>
    </w:p>
    <w:p w:rsidR="00000000" w:rsidRPr="00DF1504" w:rsidP="00DF1504">
      <w:pPr>
        <w:pStyle w:val="ListBullet2"/>
      </w:pPr>
      <w:r w:rsidRPr="00DF1504">
        <w:t>nervous system</w:t>
      </w:r>
    </w:p>
    <w:p w:rsidR="00000000" w:rsidRPr="00DF1504" w:rsidP="00DF1504">
      <w:pPr>
        <w:pStyle w:val="ListBullet2"/>
      </w:pPr>
      <w:r w:rsidRPr="00DF1504">
        <w:t>reprodu</w:t>
      </w:r>
      <w:r w:rsidRPr="00DF1504">
        <w:t>ctive system for females and males</w:t>
      </w:r>
    </w:p>
    <w:p w:rsidR="00000000" w:rsidRPr="00DF1504" w:rsidP="00DF1504">
      <w:pPr>
        <w:pStyle w:val="ListBullet2"/>
      </w:pPr>
      <w:r w:rsidRPr="00DF1504">
        <w:t>respiratory system</w:t>
      </w:r>
    </w:p>
    <w:p w:rsidR="00000000" w:rsidRPr="00DF1504" w:rsidP="00DF1504">
      <w:pPr>
        <w:pStyle w:val="ListBullet2"/>
      </w:pPr>
      <w:r w:rsidRPr="00DF1504">
        <w:t>urinary system</w:t>
      </w:r>
    </w:p>
    <w:p w:rsidR="00000000" w:rsidRPr="00DF1504" w:rsidP="00DF1504">
      <w:pPr>
        <w:pStyle w:val="ListBullet"/>
      </w:pPr>
      <w:r w:rsidRPr="00DF1504">
        <w:t>common acute conditions associated with major body systems and organs and common presenting signs and symptoms, and required examinations</w:t>
      </w:r>
    </w:p>
    <w:p w:rsidR="00000000" w:rsidRPr="00DF1504" w:rsidP="00DF1504">
      <w:pPr>
        <w:pStyle w:val="ListBullet"/>
      </w:pPr>
      <w:r w:rsidRPr="00DF1504">
        <w:t>features of chronic disease:</w:t>
      </w:r>
    </w:p>
    <w:p w:rsidR="00000000" w:rsidRPr="00DF1504" w:rsidP="00DF1504">
      <w:pPr>
        <w:pStyle w:val="ListBullet2"/>
      </w:pPr>
      <w:r w:rsidRPr="00DF1504">
        <w:t>complex causality</w:t>
      </w:r>
    </w:p>
    <w:p w:rsidR="00000000" w:rsidRPr="00DF1504" w:rsidP="00DF1504">
      <w:pPr>
        <w:pStyle w:val="ListBullet2"/>
      </w:pPr>
      <w:r w:rsidRPr="00DF1504">
        <w:t>multiple risk factors, including genetic and lifestyle</w:t>
      </w:r>
    </w:p>
    <w:p w:rsidR="00000000" w:rsidRPr="00DF1504" w:rsidP="00DF1504">
      <w:pPr>
        <w:pStyle w:val="ListBullet2"/>
      </w:pPr>
      <w:r w:rsidRPr="00DF1504">
        <w:t>long latency periods</w:t>
      </w:r>
    </w:p>
    <w:p w:rsidR="00000000" w:rsidRPr="00DF1504" w:rsidP="00DF1504">
      <w:pPr>
        <w:pStyle w:val="ListBullet2"/>
      </w:pPr>
      <w:r w:rsidRPr="00DF1504">
        <w:t>a prolonged course of illness</w:t>
      </w:r>
    </w:p>
    <w:p w:rsidR="00000000" w:rsidRPr="00DF1504" w:rsidP="00DF1504">
      <w:pPr>
        <w:pStyle w:val="ListBullet2"/>
      </w:pPr>
      <w:r w:rsidRPr="00DF1504">
        <w:t>functional impairment or disability</w:t>
      </w:r>
    </w:p>
    <w:p w:rsidR="00000000" w:rsidRPr="00DF1504" w:rsidP="00DF1504">
      <w:pPr>
        <w:pStyle w:val="ListBullet"/>
      </w:pPr>
      <w:r w:rsidRPr="00DF1504">
        <w:t>lifestyle risk factors that can contribute to, exacerbate and progress all types of chronic disease:</w:t>
      </w:r>
    </w:p>
    <w:p w:rsidR="00000000" w:rsidRPr="00DF1504" w:rsidP="00DF1504">
      <w:pPr>
        <w:pStyle w:val="ListBullet2"/>
      </w:pPr>
      <w:r w:rsidRPr="00DF1504">
        <w:t>smoking</w:t>
      </w:r>
    </w:p>
    <w:p w:rsidR="00000000" w:rsidRPr="00DF1504" w:rsidP="00DF1504">
      <w:pPr>
        <w:pStyle w:val="ListBullet2"/>
      </w:pPr>
      <w:r w:rsidRPr="00DF1504">
        <w:t>phy</w:t>
      </w:r>
      <w:r w:rsidRPr="00DF1504">
        <w:t>sical inactivity</w:t>
      </w:r>
    </w:p>
    <w:p w:rsidR="00000000" w:rsidRPr="00DF1504" w:rsidP="00DF1504">
      <w:pPr>
        <w:pStyle w:val="ListBullet2"/>
      </w:pPr>
      <w:r w:rsidRPr="00DF1504">
        <w:t>unhealthy nutrition and body weight</w:t>
      </w:r>
    </w:p>
    <w:p w:rsidR="00000000" w:rsidRPr="00DF1504" w:rsidP="00DF1504">
      <w:pPr>
        <w:pStyle w:val="ListBullet2"/>
      </w:pPr>
      <w:r w:rsidRPr="00DF1504">
        <w:t>consumption of alcohol at unsafe levels</w:t>
      </w:r>
    </w:p>
    <w:p w:rsidR="00000000" w:rsidRPr="00DF1504" w:rsidP="00DF1504">
      <w:pPr>
        <w:pStyle w:val="ListBullet2"/>
      </w:pPr>
      <w:r w:rsidRPr="00DF1504">
        <w:t>use of illicit drugs</w:t>
      </w:r>
    </w:p>
    <w:p w:rsidR="00000000" w:rsidRPr="00DF1504" w:rsidP="00DF1504">
      <w:pPr>
        <w:pStyle w:val="ListBullet2"/>
      </w:pPr>
      <w:r w:rsidRPr="00DF1504">
        <w:t>unsafe sexual practices</w:t>
      </w:r>
    </w:p>
    <w:p w:rsidR="00000000" w:rsidRPr="00DF1504" w:rsidP="00DF1504">
      <w:pPr>
        <w:pStyle w:val="ListBullet"/>
      </w:pPr>
      <w:r w:rsidRPr="00DF1504">
        <w:t>chronic and communicable diseases of high incidence in Aboriginal and/or Torres Strait Islander populations:</w:t>
      </w:r>
    </w:p>
    <w:p w:rsidR="00000000" w:rsidRPr="00DF1504" w:rsidP="00DF1504">
      <w:pPr>
        <w:pStyle w:val="ListBullet2"/>
      </w:pPr>
      <w:r w:rsidRPr="00DF1504">
        <w:t>cardiovascular disease including coronary heart disease, heart failure, cardiomyopathy, rheumatic heart disease, atherosclerosis, peripheral vascular disease and cerebrovascular disease</w:t>
      </w:r>
    </w:p>
    <w:p w:rsidR="00000000" w:rsidRPr="00DF1504" w:rsidP="00DF1504">
      <w:pPr>
        <w:pStyle w:val="ListBullet2"/>
      </w:pPr>
      <w:r w:rsidRPr="00DF1504">
        <w:t>chronic respiratory disease, including Asthma and obstructive lung dis</w:t>
      </w:r>
      <w:r w:rsidRPr="00DF1504">
        <w:t>ease</w:t>
      </w:r>
    </w:p>
    <w:p w:rsidR="00000000" w:rsidRPr="00DF1504" w:rsidP="00DF1504">
      <w:pPr>
        <w:pStyle w:val="ListBullet2"/>
      </w:pPr>
      <w:r w:rsidRPr="00DF1504">
        <w:t>chronic kidney disease and end stage renal failure</w:t>
      </w:r>
    </w:p>
    <w:p w:rsidR="00000000" w:rsidRPr="00DF1504" w:rsidP="00DF1504">
      <w:pPr>
        <w:pStyle w:val="ListBullet2"/>
      </w:pPr>
      <w:r w:rsidRPr="00DF1504">
        <w:t>chronic liver disease including alcoholic liver disease and cirrhosis</w:t>
      </w:r>
    </w:p>
    <w:p w:rsidR="00000000" w:rsidRPr="00DF1504" w:rsidP="00DF1504">
      <w:pPr>
        <w:pStyle w:val="ListBullet2"/>
      </w:pPr>
      <w:r w:rsidRPr="00DF1504">
        <w:t>cancer</w:t>
      </w:r>
    </w:p>
    <w:p w:rsidR="00000000" w:rsidRPr="00DF1504" w:rsidP="00DF1504">
      <w:pPr>
        <w:pStyle w:val="ListBullet2"/>
      </w:pPr>
      <w:r w:rsidRPr="00DF1504">
        <w:t>diabetes</w:t>
      </w:r>
    </w:p>
    <w:p w:rsidR="00000000" w:rsidRPr="00DF1504" w:rsidP="00DF1504">
      <w:pPr>
        <w:pStyle w:val="ListBullet2"/>
      </w:pPr>
      <w:r w:rsidRPr="00DF1504">
        <w:t>musculoskeletal conditions, including arthritis</w:t>
      </w:r>
    </w:p>
    <w:p w:rsidR="00000000" w:rsidRPr="00DF1504" w:rsidP="00DF1504">
      <w:pPr>
        <w:pStyle w:val="ListBullet2"/>
      </w:pPr>
      <w:r w:rsidRPr="00DF1504">
        <w:t>eye, ear and oral disease</w:t>
      </w:r>
    </w:p>
    <w:p w:rsidR="00000000" w:rsidRPr="00DF1504" w:rsidP="00DF1504">
      <w:pPr>
        <w:pStyle w:val="ListBullet2"/>
      </w:pPr>
      <w:r w:rsidRPr="00DF1504">
        <w:t>sexually transmitted infections (STIs)</w:t>
      </w:r>
    </w:p>
    <w:p w:rsidR="00000000" w:rsidRPr="00DF1504" w:rsidP="00DF1504">
      <w:pPr>
        <w:pStyle w:val="ListBullet2"/>
      </w:pPr>
      <w:r w:rsidRPr="00DF1504">
        <w:t>b</w:t>
      </w:r>
      <w:r w:rsidRPr="00DF1504">
        <w:t>lood borne viruses including HIV, hepatitis A, hepatitis B and hepatitis C</w:t>
      </w:r>
    </w:p>
    <w:p w:rsidR="00000000" w:rsidRPr="00DF1504" w:rsidP="00DF1504">
      <w:pPr>
        <w:pStyle w:val="ListBullet2"/>
      </w:pPr>
      <w:r w:rsidRPr="00DF1504">
        <w:t>communicable diseases of current significance in the local state, territory or local community</w:t>
      </w:r>
    </w:p>
    <w:p w:rsidR="00000000" w:rsidRPr="00DF1504" w:rsidP="00DF1504">
      <w:pPr>
        <w:pStyle w:val="ListBullet"/>
      </w:pPr>
      <w:r w:rsidRPr="00DF1504">
        <w:t>for each of the above listed chronic and communicable diseases of high incidence in A</w:t>
      </w:r>
      <w:r w:rsidRPr="00DF1504">
        <w:t>boriginal and/or Torres Strait Islander populations:</w:t>
      </w:r>
    </w:p>
    <w:p w:rsidR="00000000" w:rsidRPr="00DF1504" w:rsidP="00DF1504">
      <w:pPr>
        <w:pStyle w:val="ListBullet2"/>
      </w:pPr>
      <w:r w:rsidRPr="00DF1504">
        <w:t>the major signs and symptoms</w:t>
      </w:r>
    </w:p>
    <w:p w:rsidR="00000000" w:rsidRPr="00DF1504" w:rsidP="00DF1504">
      <w:pPr>
        <w:pStyle w:val="ListBullet2"/>
      </w:pPr>
      <w:r w:rsidRPr="00DF1504">
        <w:t>blood and other tests used to diagnose and monitor</w:t>
      </w:r>
    </w:p>
    <w:p w:rsidR="00000000" w:rsidRPr="00DF1504" w:rsidP="00DF1504">
      <w:pPr>
        <w:pStyle w:val="ListBullet2"/>
      </w:pPr>
      <w:r w:rsidRPr="00DF1504">
        <w:t>basic pathophysiology sufficient to understand the impact and functional changes on relevant body organs and systems</w:t>
      </w:r>
    </w:p>
    <w:p w:rsidR="00000000" w:rsidRPr="00DF1504" w:rsidP="00DF1504">
      <w:pPr>
        <w:pStyle w:val="ListBullet2"/>
      </w:pPr>
      <w:r w:rsidRPr="00DF1504">
        <w:t>the concept of comorbidity and overview of the main linkages between diseases sufficient to understand that signs and symptoms may indicate the presence of multiple diseases</w:t>
      </w:r>
    </w:p>
    <w:p w:rsidR="00000000" w:rsidRPr="00DF1504" w:rsidP="00DF1504">
      <w:pPr>
        <w:pStyle w:val="ListBullet"/>
      </w:pPr>
      <w:r w:rsidRPr="00DF1504">
        <w:t>for cardiovascular disease:</w:t>
      </w:r>
    </w:p>
    <w:p w:rsidR="00000000" w:rsidRPr="00DF1504" w:rsidP="00DF1504">
      <w:pPr>
        <w:pStyle w:val="ListBullet2"/>
      </w:pPr>
      <w:r w:rsidRPr="00DF1504">
        <w:t>the concept of ‘cardiovascular risk factors’</w:t>
      </w:r>
    </w:p>
    <w:p w:rsidR="00000000" w:rsidRPr="00DF1504" w:rsidP="00DF1504">
      <w:pPr>
        <w:pStyle w:val="ListBullet2"/>
      </w:pPr>
      <w:r w:rsidRPr="00DF1504">
        <w:t>the sig</w:t>
      </w:r>
      <w:r w:rsidRPr="00DF1504">
        <w:t>nificance of an individual having multiple risk factors</w:t>
      </w:r>
    </w:p>
    <w:p w:rsidR="00000000" w:rsidRPr="00DF1504" w:rsidP="00DF1504">
      <w:pPr>
        <w:pStyle w:val="ListBullet2"/>
      </w:pPr>
      <w:r w:rsidRPr="00DF1504">
        <w:t>the concept of ‘high absolute risk’</w:t>
      </w:r>
    </w:p>
    <w:p w:rsidR="00000000" w:rsidRPr="00DF1504" w:rsidP="00DF1504">
      <w:pPr>
        <w:pStyle w:val="ListBullet"/>
      </w:pPr>
      <w:r w:rsidRPr="00DF1504">
        <w:t>for chronic kidney disease:</w:t>
      </w:r>
    </w:p>
    <w:p w:rsidR="00000000" w:rsidRPr="00DF1504" w:rsidP="00DF1504">
      <w:pPr>
        <w:pStyle w:val="ListBullet2"/>
      </w:pPr>
      <w:r w:rsidRPr="00DF1504">
        <w:t>the importance of early stage detection in deferring or preventing end-stage kidney disease (renal failure)</w:t>
      </w:r>
    </w:p>
    <w:p w:rsidR="00000000" w:rsidRPr="00DF1504" w:rsidP="00DF1504">
      <w:pPr>
        <w:pStyle w:val="ListBullet"/>
      </w:pPr>
      <w:r w:rsidRPr="00DF1504">
        <w:t>for diabetes:</w:t>
      </w:r>
    </w:p>
    <w:p w:rsidR="00000000" w:rsidRPr="00DF1504" w:rsidP="00DF1504">
      <w:pPr>
        <w:pStyle w:val="ListBullet2"/>
      </w:pPr>
      <w:r w:rsidRPr="00DF1504">
        <w:t>main eleme</w:t>
      </w:r>
      <w:r w:rsidRPr="00DF1504">
        <w:t>nts of the diabetes annual cycle of care</w:t>
      </w:r>
    </w:p>
    <w:p w:rsidR="00000000" w:rsidRPr="00DF1504" w:rsidP="00DF1504">
      <w:pPr>
        <w:pStyle w:val="ListBullet2"/>
      </w:pPr>
      <w:r w:rsidRPr="00DF1504">
        <w:t>causes, signs and symptoms of diabetic foot disease</w:t>
      </w:r>
    </w:p>
    <w:p w:rsidR="00000000" w:rsidRPr="00DF1504" w:rsidP="00DF1504">
      <w:pPr>
        <w:pStyle w:val="ListBullet2"/>
      </w:pPr>
      <w:r w:rsidRPr="00DF1504">
        <w:t>screening tools and procedures that can be used to assess diabetic foot disease.</w:t>
      </w:r>
    </w:p>
    <w:p w:rsidR="00000000" w:rsidRPr="00DF1504" w:rsidP="00DF1504">
      <w:pPr>
        <w:pStyle w:val="AllowPageBreak"/>
      </w:pPr>
    </w:p>
    <w:p w:rsidR="00000000" w:rsidRPr="00DF1504" w:rsidP="00DF1504">
      <w:pPr>
        <w:pStyle w:val="Heading1"/>
      </w:pPr>
      <w:bookmarkStart w:id="4" w:name="O_1277209"/>
      <w:bookmarkEnd w:id="4"/>
      <w:r w:rsidRPr="00DF1504">
        <w:t>Assessment Conditions</w:t>
      </w:r>
    </w:p>
    <w:p w:rsidR="00000000" w:rsidRPr="00DF1504" w:rsidP="000F2788">
      <w:pPr>
        <w:pStyle w:val="BodyText"/>
      </w:pPr>
      <w:r w:rsidRPr="00DF1504">
        <w:t>Skills must be demonstrated in a health service workplace within a multidisciplinary primary health care team.</w:t>
      </w:r>
    </w:p>
    <w:p w:rsidR="00000000" w:rsidRPr="00DF1504" w:rsidP="000F2788">
      <w:pPr>
        <w:pStyle w:val="BodyText"/>
      </w:pPr>
      <w:r w:rsidRPr="00DF1504">
        <w:t>Evidence of performance must be gathered:</w:t>
      </w:r>
    </w:p>
    <w:p w:rsidR="00000000" w:rsidRPr="00DF1504" w:rsidP="00DF1504">
      <w:pPr>
        <w:pStyle w:val="ListBullet"/>
      </w:pPr>
      <w:r w:rsidRPr="00DF1504">
        <w:t>during on-the-job assessments in the workplace under live conditions while interacting with Aboriginal</w:t>
      </w:r>
      <w:r w:rsidRPr="00DF1504">
        <w:t xml:space="preserve"> and/or Torres Strait Islander people, or</w:t>
      </w:r>
    </w:p>
    <w:p w:rsidR="00000000" w:rsidRPr="00DF1504" w:rsidP="00DF1504">
      <w:pPr>
        <w:pStyle w:val="ListBullet"/>
      </w:pPr>
      <w:r w:rsidRPr="00DF1504">
        <w:t>during off-the-job assessments in the workplace, not under live conditions, using simulated activities while interacting with Aboriginal and/or Torres Strait Islander people.</w:t>
      </w:r>
    </w:p>
    <w:p w:rsidR="00000000" w:rsidRPr="00DF1504" w:rsidP="000F2788">
      <w:pPr>
        <w:pStyle w:val="BodyText"/>
      </w:pPr>
      <w:r w:rsidRPr="00DF1504">
        <w:t>Evidence of workplace performance can b</w:t>
      </w:r>
      <w:r w:rsidRPr="00DF1504">
        <w:t>e gathered and reported through third party report processes. (Refer to the Companion Volume Implementation Guide for information on third party reporting.)</w:t>
      </w:r>
    </w:p>
    <w:p w:rsidR="00000000" w:rsidRPr="00DF1504" w:rsidP="000F2788">
      <w:pPr>
        <w:pStyle w:val="BodyText"/>
      </w:pPr>
      <w:r w:rsidRPr="00DF1504">
        <w:t>Evidence can be supplemented by assessments in a simulated workplace environment using simulated ac</w:t>
      </w:r>
      <w:r w:rsidRPr="00DF1504">
        <w:t>tivities, scenarios or case studies only when:</w:t>
      </w:r>
    </w:p>
    <w:p w:rsidR="00000000" w:rsidRPr="00DF1504" w:rsidP="00DF1504">
      <w:pPr>
        <w:pStyle w:val="ListBullet"/>
      </w:pPr>
      <w:r w:rsidRPr="00DF1504">
        <w:t>the full range of situations covered by the unit cannot be provided in the individual’s workplace, or</w:t>
      </w:r>
    </w:p>
    <w:p w:rsidR="00000000" w:rsidRPr="00DF1504" w:rsidP="00DF1504">
      <w:pPr>
        <w:pStyle w:val="ListBullet"/>
      </w:pPr>
      <w:r w:rsidRPr="00DF1504">
        <w:t>situations covered by the unit occur only rarely in the individual’s workplace.</w:t>
      </w:r>
    </w:p>
    <w:p w:rsidR="00000000" w:rsidRPr="00DF1504" w:rsidP="000F2788">
      <w:pPr>
        <w:pStyle w:val="BodyText"/>
      </w:pPr>
      <w:r w:rsidRPr="00DF1504">
        <w:t>Assessment must ensure the</w:t>
      </w:r>
      <w:r w:rsidRPr="00DF1504">
        <w:t xml:space="preserve"> use of:</w:t>
      </w:r>
    </w:p>
    <w:p w:rsidR="00000000" w:rsidRPr="00DF1504" w:rsidP="00DF1504">
      <w:pPr>
        <w:pStyle w:val="ListBullet"/>
      </w:pPr>
      <w:r w:rsidRPr="00DF1504">
        <w:t>personal protective equipment for infection control</w:t>
      </w:r>
    </w:p>
    <w:p w:rsidR="00000000" w:rsidRPr="00DF1504" w:rsidP="00DF1504">
      <w:pPr>
        <w:pStyle w:val="ListBullet"/>
      </w:pPr>
      <w:r w:rsidRPr="00DF1504">
        <w:t>medical equipment and consumables used for health assessments</w:t>
      </w:r>
    </w:p>
    <w:p w:rsidR="00000000" w:rsidRPr="00DF1504" w:rsidP="00DF1504">
      <w:pPr>
        <w:pStyle w:val="ListBullet"/>
      </w:pPr>
      <w:r w:rsidRPr="00DF1504">
        <w:t>clinical waste and sharps disposal bins</w:t>
      </w:r>
    </w:p>
    <w:p w:rsidR="00000000" w:rsidRPr="00DF1504" w:rsidP="00DF1504">
      <w:pPr>
        <w:pStyle w:val="ListBullet"/>
      </w:pPr>
      <w:r w:rsidRPr="00DF1504">
        <w:t>specimen collection documents</w:t>
      </w:r>
    </w:p>
    <w:p w:rsidR="00000000" w:rsidRPr="00DF1504" w:rsidP="00DF1504">
      <w:pPr>
        <w:pStyle w:val="ListBullet"/>
      </w:pPr>
      <w:r w:rsidRPr="00DF1504">
        <w:t>pathology results</w:t>
      </w:r>
    </w:p>
    <w:p w:rsidR="00000000" w:rsidRPr="00DF1504" w:rsidP="00DF1504">
      <w:pPr>
        <w:pStyle w:val="ListBullet"/>
      </w:pPr>
      <w:r w:rsidRPr="00DF1504">
        <w:t>client records</w:t>
      </w:r>
    </w:p>
    <w:p w:rsidR="00000000" w:rsidRPr="00DF1504" w:rsidP="00DF1504">
      <w:pPr>
        <w:pStyle w:val="ListBullet"/>
      </w:pPr>
      <w:r w:rsidRPr="00DF1504">
        <w:t>template forms or reports for</w:t>
      </w:r>
      <w:r w:rsidRPr="00DF1504">
        <w:t xml:space="preserve"> documenting client histories, assessment details and results</w:t>
      </w:r>
    </w:p>
    <w:p w:rsidR="00000000" w:rsidRPr="00DF1504" w:rsidP="00DF1504">
      <w:pPr>
        <w:pStyle w:val="ListBullet"/>
      </w:pPr>
      <w:r w:rsidRPr="00DF1504">
        <w:t>health assessment standard treatment protocols used by the organisation, which can include Standard Treatment Manuals</w:t>
      </w:r>
    </w:p>
    <w:p w:rsidR="00000000" w:rsidRPr="00DF1504" w:rsidP="00DF1504">
      <w:pPr>
        <w:pStyle w:val="ListBullet"/>
      </w:pPr>
      <w:r w:rsidRPr="00DF1504">
        <w:t>organisational procedures for:</w:t>
      </w:r>
    </w:p>
    <w:p w:rsidR="00000000" w:rsidRPr="00DF1504" w:rsidP="00DF1504">
      <w:pPr>
        <w:pStyle w:val="ListBullet2"/>
      </w:pPr>
      <w:r w:rsidRPr="00DF1504">
        <w:t>maintaining client confidentiality</w:t>
      </w:r>
    </w:p>
    <w:p w:rsidR="00000000" w:rsidRPr="00DF1504" w:rsidP="00DF1504">
      <w:pPr>
        <w:pStyle w:val="ListBullet2"/>
      </w:pPr>
      <w:r w:rsidRPr="00DF1504">
        <w:t>documenting health assessments</w:t>
      </w:r>
    </w:p>
    <w:p w:rsidR="00000000" w:rsidRPr="00DF1504" w:rsidP="00DF1504">
      <w:pPr>
        <w:pStyle w:val="ListBullet2"/>
      </w:pPr>
      <w:r w:rsidRPr="00DF1504">
        <w:t>reporting notifiable communicable diseases.</w:t>
      </w:r>
    </w:p>
    <w:p w:rsidR="00000000" w:rsidRPr="00DF1504" w:rsidP="000F2788">
      <w:pPr>
        <w:pStyle w:val="BodyText"/>
      </w:pPr>
      <w:r w:rsidRPr="00DF1504">
        <w:t>Assessors must satisfy the Standards for Registered Training Organisations requirements for assessors, and:</w:t>
      </w:r>
    </w:p>
    <w:p w:rsidR="00000000" w:rsidRPr="00DF1504" w:rsidP="00DF1504">
      <w:pPr>
        <w:pStyle w:val="ListBullet"/>
      </w:pPr>
      <w:r w:rsidRPr="00DF1504">
        <w:t>be an Aboriginal and/or Torres Strait Islander person who has applied th</w:t>
      </w:r>
      <w:r w:rsidRPr="00DF1504">
        <w:t>e skills and knowledge covered in this unit of competency through experience working as an Aboriginal and/or Torres Strait Islander health practitioner, or</w:t>
      </w:r>
    </w:p>
    <w:p w:rsidR="00000000" w:rsidRPr="00DF1504" w:rsidP="00DF1504">
      <w:pPr>
        <w:pStyle w:val="ListBullet"/>
      </w:pPr>
      <w:r w:rsidRPr="00DF1504">
        <w:t>be a registered health practitioner with experience relevant to this unit of competency and be accom</w:t>
      </w:r>
      <w:r w:rsidRPr="00DF1504">
        <w:t>panied by, or have assessments validated by, an Aboriginal and/or Torres Strait Islander person.</w:t>
      </w:r>
    </w:p>
    <w:p w:rsidR="00000000" w:rsidRPr="00DF1504" w:rsidP="00DF1504">
      <w:pPr>
        <w:pStyle w:val="AllowPageBreak"/>
      </w:pPr>
    </w:p>
    <w:p w:rsidR="00000000" w:rsidRPr="00DF1504" w:rsidP="00DF1504">
      <w:pPr>
        <w:pStyle w:val="Heading1"/>
      </w:pPr>
      <w:bookmarkStart w:id="5" w:name="O_1277212"/>
      <w:bookmarkEnd w:id="5"/>
      <w:r w:rsidRPr="00DF1504">
        <w:t>Links</w:t>
      </w:r>
    </w:p>
    <w:p w:rsidR="00000000" w:rsidRPr="00DF1504" w:rsidP="000F2788">
      <w:pPr>
        <w:pStyle w:val="BodyText"/>
      </w:pPr>
      <w:r w:rsidRPr="00DF15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33D1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F1504" w:rsidP="00DF1504"/>
    <w:sectPr w:rsidSect="00DF1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04" w:rsidRPr="000F2788" w:rsidP="000F2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88" w:rsidP="00DF1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2788" w:rsidP="00DF1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2788" w:rsidP="00DF1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504" w:rsidRPr="000F2788" w:rsidP="000F2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88" w:rsidRPr="002D2AF8" w:rsidP="00DF1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HLTAHCS004 Complete comprehensive physical health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F2788" w:rsidP="00DF1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681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5C4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804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504"/>
  </w:style>
  <w:style w:type="character" w:customStyle="1" w:styleId="Heading1Char">
    <w:name w:val="Heading 1 Char"/>
    <w:basedOn w:val="DefaultParagraphFont"/>
    <w:link w:val="Heading1"/>
    <w:rsid w:val="00DF1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5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15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1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15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1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1504"/>
    <w:rPr>
      <w:b/>
      <w:spacing w:val="0"/>
    </w:rPr>
  </w:style>
  <w:style w:type="paragraph" w:customStyle="1" w:styleId="SuperTitle">
    <w:name w:val="SuperTitle"/>
    <w:basedOn w:val="Title"/>
    <w:rsid w:val="00DF1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1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1504"/>
    <w:rPr>
      <w:i/>
    </w:rPr>
  </w:style>
  <w:style w:type="paragraph" w:styleId="Caption">
    <w:name w:val="caption"/>
    <w:basedOn w:val="BodyText"/>
    <w:next w:val="Normal"/>
    <w:qFormat/>
    <w:rsid w:val="00DF1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504"/>
  </w:style>
  <w:style w:type="paragraph" w:styleId="TableofFigures">
    <w:name w:val="table of figures"/>
    <w:basedOn w:val="Normal"/>
    <w:next w:val="Normal"/>
    <w:semiHidden/>
    <w:rsid w:val="00DF1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5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1504"/>
    <w:rPr>
      <w:rFonts w:ascii="Wingdings" w:hAnsi="Wingdings"/>
    </w:rPr>
  </w:style>
  <w:style w:type="paragraph" w:customStyle="1" w:styleId="TableHeading">
    <w:name w:val="Table Heading"/>
    <w:basedOn w:val="HeadingBase"/>
    <w:rsid w:val="00DF1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504"/>
    <w:rPr>
      <w:color w:val="0033CC"/>
      <w:u w:val="none"/>
    </w:rPr>
  </w:style>
  <w:style w:type="paragraph" w:customStyle="1" w:styleId="BodyTextRight">
    <w:name w:val="Body Text Right"/>
    <w:basedOn w:val="BodyText"/>
    <w:rsid w:val="00DF1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5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504"/>
    <w:rPr>
      <w:sz w:val="32"/>
    </w:rPr>
  </w:style>
  <w:style w:type="paragraph" w:customStyle="1" w:styleId="HeadingProcedure">
    <w:name w:val="Heading Procedure"/>
    <w:basedOn w:val="HeadingBase"/>
    <w:next w:val="Normal"/>
    <w:rsid w:val="00DF1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504"/>
    <w:pPr>
      <w:spacing w:before="60" w:after="60"/>
    </w:pPr>
  </w:style>
  <w:style w:type="paragraph" w:styleId="ListContinue">
    <w:name w:val="List Continue"/>
    <w:basedOn w:val="List"/>
    <w:rsid w:val="00DF1504"/>
    <w:pPr>
      <w:ind w:firstLine="0"/>
    </w:pPr>
  </w:style>
  <w:style w:type="paragraph" w:customStyle="1" w:styleId="ListNote">
    <w:name w:val="List Note"/>
    <w:basedOn w:val="List"/>
    <w:rsid w:val="00DF1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504"/>
    <w:rPr>
      <w:rFonts w:ascii="Courier New" w:hAnsi="Courier New"/>
    </w:rPr>
  </w:style>
  <w:style w:type="paragraph" w:customStyle="1" w:styleId="NoteBullet">
    <w:name w:val="Note Bullet"/>
    <w:basedOn w:val="Note"/>
    <w:rsid w:val="00DF1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5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1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504"/>
    <w:rPr>
      <w:b/>
      <w:smallCaps/>
    </w:rPr>
  </w:style>
  <w:style w:type="paragraph" w:customStyle="1" w:styleId="TableListNumber">
    <w:name w:val="Table List Number"/>
    <w:basedOn w:val="ListNumber"/>
    <w:rsid w:val="00DF1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504"/>
    <w:pPr>
      <w:numPr>
        <w:numId w:val="10"/>
      </w:numPr>
    </w:pPr>
  </w:style>
  <w:style w:type="paragraph" w:customStyle="1" w:styleId="ListAlpha2">
    <w:name w:val="List Alpha 2"/>
    <w:basedOn w:val="List2"/>
    <w:rsid w:val="00DF1504"/>
    <w:pPr>
      <w:numPr>
        <w:numId w:val="9"/>
      </w:numPr>
    </w:pPr>
  </w:style>
  <w:style w:type="paragraph" w:styleId="List2">
    <w:name w:val="List 2"/>
    <w:basedOn w:val="BodyText"/>
    <w:rsid w:val="00DF1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5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15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1504"/>
    <w:pPr>
      <w:numPr>
        <w:numId w:val="5"/>
      </w:numPr>
    </w:pPr>
  </w:style>
  <w:style w:type="paragraph" w:styleId="ListContinue2">
    <w:name w:val="List Continue 2"/>
    <w:basedOn w:val="List2"/>
    <w:rsid w:val="00DF1504"/>
    <w:pPr>
      <w:ind w:firstLine="0"/>
    </w:pPr>
  </w:style>
  <w:style w:type="paragraph" w:styleId="ListContinue3">
    <w:name w:val="List Continue 3"/>
    <w:basedOn w:val="List3"/>
    <w:rsid w:val="00DF1504"/>
    <w:pPr>
      <w:ind w:left="1021" w:firstLine="0"/>
    </w:pPr>
  </w:style>
  <w:style w:type="paragraph" w:styleId="ListContinue4">
    <w:name w:val="List Continue 4"/>
    <w:basedOn w:val="List4"/>
    <w:rsid w:val="00DF1504"/>
    <w:pPr>
      <w:ind w:firstLine="0"/>
    </w:pPr>
  </w:style>
  <w:style w:type="paragraph" w:styleId="ListContinue5">
    <w:name w:val="List Continue 5"/>
    <w:basedOn w:val="List5"/>
    <w:rsid w:val="00DF1504"/>
    <w:pPr>
      <w:ind w:firstLine="0"/>
    </w:pPr>
  </w:style>
  <w:style w:type="paragraph" w:styleId="ListNumber3">
    <w:name w:val="List Number 3"/>
    <w:basedOn w:val="List3"/>
    <w:rsid w:val="00DF1504"/>
    <w:pPr>
      <w:numPr>
        <w:numId w:val="6"/>
      </w:numPr>
    </w:pPr>
  </w:style>
  <w:style w:type="paragraph" w:styleId="ListNumber4">
    <w:name w:val="List Number 4"/>
    <w:basedOn w:val="List4"/>
    <w:rsid w:val="00DF1504"/>
    <w:pPr>
      <w:numPr>
        <w:numId w:val="7"/>
      </w:numPr>
    </w:pPr>
  </w:style>
  <w:style w:type="paragraph" w:styleId="ListNumber5">
    <w:name w:val="List Number 5"/>
    <w:basedOn w:val="List5"/>
    <w:rsid w:val="00DF1504"/>
    <w:pPr>
      <w:numPr>
        <w:numId w:val="8"/>
      </w:numPr>
    </w:pPr>
  </w:style>
  <w:style w:type="paragraph" w:styleId="BlockText">
    <w:name w:val="Block Text"/>
    <w:basedOn w:val="Normal"/>
    <w:rsid w:val="00DF1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504"/>
    <w:rPr>
      <w:sz w:val="16"/>
      <w:vertAlign w:val="superscript"/>
    </w:rPr>
  </w:style>
  <w:style w:type="character" w:customStyle="1" w:styleId="Symbols">
    <w:name w:val="Symbols"/>
    <w:basedOn w:val="DefaultParagraphFont"/>
    <w:rsid w:val="00DF1504"/>
    <w:rPr>
      <w:rFonts w:ascii="Symbol" w:hAnsi="Symbol"/>
    </w:rPr>
  </w:style>
  <w:style w:type="character" w:customStyle="1" w:styleId="MenuOptions">
    <w:name w:val="Menu Options"/>
    <w:basedOn w:val="DefaultParagraphFont"/>
    <w:rsid w:val="00DF1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504"/>
    <w:rPr>
      <w:b/>
    </w:rPr>
  </w:style>
  <w:style w:type="character" w:customStyle="1" w:styleId="Underlined">
    <w:name w:val="Underlined"/>
    <w:basedOn w:val="DefaultParagraphFont"/>
    <w:rsid w:val="00DF1504"/>
    <w:rPr>
      <w:u w:val="single"/>
    </w:rPr>
  </w:style>
  <w:style w:type="paragraph" w:customStyle="1" w:styleId="TableBodyTextRight">
    <w:name w:val="Table Body Text Right"/>
    <w:basedOn w:val="TableBodyText"/>
    <w:rsid w:val="00DF1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504"/>
    <w:rPr>
      <w:sz w:val="18"/>
    </w:rPr>
  </w:style>
  <w:style w:type="paragraph" w:customStyle="1" w:styleId="BodySmallRight">
    <w:name w:val="Body Small Right"/>
    <w:basedOn w:val="BodyTextRight"/>
    <w:rsid w:val="00DF1504"/>
    <w:rPr>
      <w:sz w:val="18"/>
      <w:szCs w:val="18"/>
    </w:rPr>
  </w:style>
  <w:style w:type="paragraph" w:customStyle="1" w:styleId="MarginEdition">
    <w:name w:val="Margin Edition"/>
    <w:basedOn w:val="MarginNote"/>
    <w:rsid w:val="00DF1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504"/>
    <w:rPr>
      <w:sz w:val="2"/>
      <w:szCs w:val="2"/>
    </w:rPr>
  </w:style>
  <w:style w:type="character" w:customStyle="1" w:styleId="Small">
    <w:name w:val="Small"/>
    <w:basedOn w:val="DefaultParagraphFont"/>
    <w:rsid w:val="00DF1504"/>
    <w:rPr>
      <w:sz w:val="16"/>
    </w:rPr>
  </w:style>
  <w:style w:type="paragraph" w:customStyle="1" w:styleId="WideTable">
    <w:name w:val="Wide Table"/>
    <w:basedOn w:val="Normal"/>
    <w:rsid w:val="00DF1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504"/>
  </w:style>
  <w:style w:type="paragraph" w:styleId="Quote">
    <w:name w:val="Quote"/>
    <w:basedOn w:val="Heading1"/>
    <w:link w:val="QuoteChar"/>
    <w:qFormat/>
    <w:rsid w:val="00DF1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504"/>
    <w:pPr>
      <w:pageBreakBefore/>
    </w:pPr>
  </w:style>
  <w:style w:type="paragraph" w:customStyle="1" w:styleId="Border">
    <w:name w:val="Border"/>
    <w:basedOn w:val="Normal"/>
    <w:qFormat/>
    <w:rsid w:val="00DF1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504"/>
    <w:rPr>
      <w:u w:val="single"/>
    </w:rPr>
  </w:style>
  <w:style w:type="character" w:customStyle="1" w:styleId="BoldandItalics">
    <w:name w:val="Bold and Italics"/>
    <w:qFormat/>
    <w:rsid w:val="00DF1504"/>
    <w:rPr>
      <w:b/>
      <w:i/>
      <w:u w:val="none"/>
    </w:rPr>
  </w:style>
  <w:style w:type="paragraph" w:styleId="BalloonText">
    <w:name w:val="Balloon Text"/>
    <w:basedOn w:val="Normal"/>
    <w:link w:val="BalloonTextChar"/>
    <w:rsid w:val="00DF1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504"/>
    <w:pPr>
      <w:spacing w:before="0" w:after="0"/>
    </w:pPr>
  </w:style>
  <w:style w:type="paragraph" w:customStyle="1" w:styleId="BodyTextBold">
    <w:name w:val="Body Text Bold"/>
    <w:basedOn w:val="BodyText"/>
    <w:qFormat/>
    <w:rsid w:val="00DF1504"/>
    <w:rPr>
      <w:b/>
    </w:rPr>
  </w:style>
  <w:style w:type="character" w:styleId="Hyperlink">
    <w:name w:val="Hyperlink"/>
    <w:basedOn w:val="DefaultParagraphFont"/>
    <w:uiPriority w:val="99"/>
    <w:unhideWhenUsed/>
    <w:rsid w:val="000F2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1575</Words>
  <Characters>10129</Characters>
  <Application>Microsoft Office Word</Application>
  <DocSecurity>0</DocSecurity>
  <Lines>253</Lines>
  <Paragraphs>216</Paragraphs>
  <ScaleCrop>false</ScaleCrop>
  <Company>Author-it Software Corporation Ltd.</Company>
  <LinksUpToDate>false</LinksUpToDate>
  <CharactersWithSpaces>11488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HLTAHCS004 Complete comprehensive physical health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