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138" w:rsidP="007C0138">
      <w:pPr>
        <w:pStyle w:val="Title"/>
      </w:pPr>
      <w:r>
        <w:fldChar w:fldCharType="begin"/>
      </w:r>
      <w:r>
        <w:instrText xml:space="preserve"> TITLE   \* MERGEFORMAT </w:instrText>
      </w:r>
      <w:r>
        <w:fldChar w:fldCharType="separate"/>
      </w:r>
      <w:r>
        <w:t>HLTAHCS003 Complete routine physical health assessments</w:t>
      </w:r>
      <w:r>
        <w:fldChar w:fldCharType="end"/>
      </w:r>
    </w:p>
    <w:p w:rsidR="007C0138" w:rsidP="007C0138">
      <w:pPr>
        <w:pStyle w:val="Version"/>
        <w:sectPr w:rsidSect="001003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30A" w:rsidP="0010030A">
      <w:pPr>
        <w:pStyle w:val="SuperHeading"/>
      </w:pPr>
      <w:r w:rsidRPr="0010030A">
        <w:t>HLTAHCS003 Complete routine physical health assessments</w:t>
      </w:r>
    </w:p>
    <w:p w:rsidR="00000000" w:rsidRPr="0010030A" w:rsidP="0010030A">
      <w:pPr>
        <w:pStyle w:val="Heading1"/>
      </w:pPr>
      <w:bookmarkStart w:id="1" w:name="O_1277177"/>
      <w:bookmarkEnd w:id="1"/>
      <w:r w:rsidRPr="0010030A">
        <w:t>Modification History</w:t>
      </w:r>
    </w:p>
    <w:p w:rsidR="00000000" w:rsidRPr="0010030A" w:rsidP="007C0138">
      <w:pPr>
        <w:pStyle w:val="BodyText"/>
      </w:pPr>
      <w:r w:rsidRPr="0010030A">
        <w:t>Not applicable.</w:t>
      </w:r>
    </w:p>
    <w:p w:rsidR="00000000" w:rsidRPr="0010030A" w:rsidP="0010030A">
      <w:pPr>
        <w:pStyle w:val="Heading1"/>
      </w:pPr>
      <w:bookmarkStart w:id="2" w:name="O_1277178"/>
      <w:bookmarkEnd w:id="2"/>
      <w:r w:rsidRPr="0010030A">
        <w:t>Application</w:t>
      </w:r>
    </w:p>
    <w:p w:rsidR="00000000" w:rsidRPr="0010030A" w:rsidP="007C0138">
      <w:pPr>
        <w:pStyle w:val="BodyText"/>
      </w:pPr>
      <w:r w:rsidRPr="0010030A">
        <w:t xml:space="preserve">This unit describes the performance outcomes, skills and knowledge required to complete health assessments of Aboriginal and/or Torres Strait Islander clients as part of </w:t>
      </w:r>
      <w:r w:rsidRPr="0010030A">
        <w:t>a multidisciplinary health care team. It requires the ability to complete routine physical examinations and tests, and to assess client health. This unit covers the ability to evaluate short term and uncomplicated health conditions and also to recognise se</w:t>
      </w:r>
      <w:r w:rsidRPr="0010030A">
        <w:t>rious presentations that require further investigation.</w:t>
      </w:r>
    </w:p>
    <w:p w:rsidR="00000000" w:rsidRPr="0010030A" w:rsidP="007C0138">
      <w:pPr>
        <w:pStyle w:val="BodyText"/>
      </w:pPr>
      <w:r w:rsidRPr="0010030A">
        <w:t>Health assessments may be routinely scheduled at specific intervals, could be completed when a client presents with a specific health issue or as part of ongoing care for a diagnosed condition.</w:t>
      </w:r>
    </w:p>
    <w:p w:rsidR="00000000" w:rsidRPr="0010030A" w:rsidP="007C0138">
      <w:pPr>
        <w:pStyle w:val="BodyText"/>
      </w:pPr>
      <w:r w:rsidRPr="0010030A">
        <w:t>This u</w:t>
      </w:r>
      <w:r w:rsidRPr="0010030A">
        <w:t>nit is specific to Aboriginal and/or Torres Strait Islander people working as health workers and health practitioners. They work as part of a multidisciplinary primary health care team to provide primary health care services to Aboriginal and/or Torres Str</w:t>
      </w:r>
      <w:r w:rsidRPr="0010030A">
        <w:t>ait Islander clients.</w:t>
      </w:r>
    </w:p>
    <w:p w:rsidR="00000000" w:rsidRPr="0010030A" w:rsidP="007C0138">
      <w:pPr>
        <w:pStyle w:val="BodyText"/>
      </w:pPr>
      <w:r w:rsidRPr="0010030A">
        <w:t>The skills in this unit must be applied in accordance with Commonwealth and State or Territory legislation, Australian standards and industry codes of practice.</w:t>
      </w:r>
    </w:p>
    <w:p w:rsidR="00000000" w:rsidRPr="0010030A" w:rsidP="007C0138">
      <w:pPr>
        <w:pStyle w:val="BodyText"/>
      </w:pPr>
      <w:r w:rsidRPr="0010030A">
        <w:t>No regulatory requirement for certification, occupational or business lic</w:t>
      </w:r>
      <w:r w:rsidRPr="0010030A">
        <w:t>ensing is linked to this unit at the time of publication. For information about practitioner registration and accredited courses of study, contact the Aboriginal and Torres Strait Islander Health Practice Board of Australia (ATSIHPBA).</w:t>
      </w:r>
    </w:p>
    <w:p w:rsidR="00000000" w:rsidRPr="0010030A" w:rsidP="0010030A">
      <w:pPr>
        <w:pStyle w:val="Heading1"/>
      </w:pPr>
      <w:bookmarkStart w:id="3" w:name="O_1277179"/>
      <w:bookmarkEnd w:id="3"/>
      <w:r w:rsidRPr="0010030A">
        <w:t>P</w:t>
      </w:r>
      <w:r w:rsidRPr="0010030A">
        <w:t>re-requisite Unit</w:t>
      </w:r>
    </w:p>
    <w:p w:rsidR="00000000" w:rsidRPr="0010030A" w:rsidP="007C0138">
      <w:pPr>
        <w:pStyle w:val="BodyText"/>
      </w:pPr>
      <w:r w:rsidRPr="0010030A">
        <w:t>Nil</w:t>
      </w:r>
    </w:p>
    <w:p w:rsidR="00000000" w:rsidRPr="0010030A" w:rsidP="0010030A">
      <w:pPr>
        <w:pStyle w:val="Heading1"/>
      </w:pPr>
      <w:bookmarkStart w:id="4" w:name="O_1277180"/>
      <w:bookmarkEnd w:id="4"/>
      <w:r w:rsidRPr="0010030A">
        <w:t>Competency Field</w:t>
      </w:r>
    </w:p>
    <w:p w:rsidR="00000000" w:rsidRPr="0010030A" w:rsidP="007C0138">
      <w:pPr>
        <w:pStyle w:val="BodyText"/>
      </w:pPr>
      <w:r w:rsidRPr="0010030A">
        <w:t>Health Care and Support</w:t>
      </w:r>
    </w:p>
    <w:p w:rsidR="00000000" w:rsidRPr="0010030A" w:rsidP="0010030A">
      <w:pPr>
        <w:pStyle w:val="Heading1"/>
      </w:pPr>
      <w:bookmarkStart w:id="5" w:name="O_1277181"/>
      <w:bookmarkEnd w:id="5"/>
      <w:r w:rsidRPr="0010030A">
        <w:t>Unit Sector</w:t>
      </w:r>
    </w:p>
    <w:p w:rsidR="00000000" w:rsidRPr="0010030A" w:rsidP="007C0138">
      <w:pPr>
        <w:pStyle w:val="BodyText"/>
      </w:pPr>
      <w:r w:rsidRPr="0010030A">
        <w:t>Aboriginal and/or Torres Strait Islander Health</w:t>
      </w:r>
    </w:p>
    <w:p w:rsidR="00000000" w:rsidRPr="0010030A" w:rsidP="0010030A">
      <w:pPr>
        <w:pStyle w:val="Heading1"/>
      </w:pPr>
      <w:bookmarkStart w:id="6" w:name="O_1277182"/>
      <w:bookmarkEnd w:id="6"/>
      <w:r w:rsidRPr="0010030A">
        <w:t>Elements and Performance Criteria</w:t>
      </w:r>
    </w:p>
    <w:tbl>
      <w:tblPr>
        <w:tblW w:w="0" w:type="auto"/>
        <w:tblLayout w:type="fixed"/>
        <w:tblCellMar>
          <w:left w:w="62" w:type="dxa"/>
          <w:right w:w="62" w:type="dxa"/>
        </w:tblCellMar>
        <w:tblLook w:val="0000"/>
      </w:tblPr>
      <w:tblGrid>
        <w:gridCol w:w="2694"/>
        <w:gridCol w:w="6350"/>
      </w:tblGrid>
      <w:tr w:rsidTr="001003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0030A" w:rsidP="0010030A">
            <w:pPr>
              <w:pStyle w:val="BodyText"/>
            </w:pPr>
            <w:r w:rsidRPr="0010030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0030A">
            <w:pPr>
              <w:pStyle w:val="BodyText"/>
              <w:rPr>
                <w:lang w:val="en-NZ"/>
              </w:rPr>
            </w:pPr>
            <w:r w:rsidRPr="0010030A">
              <w:rPr>
                <w:rStyle w:val="SpecialBold"/>
              </w:rPr>
              <w:t>PERFORMANCE</w:t>
            </w:r>
            <w:r w:rsidRPr="0010030A">
              <w:t xml:space="preserve"> </w:t>
            </w:r>
            <w:r w:rsidRPr="0010030A">
              <w:rPr>
                <w:rStyle w:val="SpecialBold"/>
              </w:rPr>
              <w:t>CRITERIA</w:t>
            </w:r>
          </w:p>
        </w:tc>
      </w:tr>
      <w:tr w:rsidTr="0010030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0030A" w:rsidP="0010030A">
            <w:pPr>
              <w:pStyle w:val="BodyText"/>
            </w:pPr>
            <w:r w:rsidRPr="0010030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0030A">
            <w:pPr>
              <w:pStyle w:val="BodyText"/>
              <w:rPr>
                <w:lang w:val="en-NZ"/>
              </w:rPr>
            </w:pPr>
            <w:r w:rsidRPr="0010030A">
              <w:rPr>
                <w:rStyle w:val="Emphasis"/>
              </w:rPr>
              <w:t>Performance criteria describe the performance needed to demonstrate achievement of the element.</w:t>
            </w:r>
          </w:p>
        </w:tc>
      </w:tr>
      <w:tr w:rsidTr="0010030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0030A">
            <w:pPr>
              <w:pStyle w:val="List"/>
              <w:rPr>
                <w:lang w:val="en-NZ"/>
              </w:rPr>
            </w:pPr>
            <w:r w:rsidRPr="0010030A">
              <w:t>1.  Obtain client information and determine scope of assessment.</w:t>
            </w:r>
          </w:p>
        </w:tc>
        <w:tc>
          <w:tcPr>
            <w:tcW w:w="6350" w:type="dxa"/>
            <w:tcBorders>
              <w:top w:val="nil"/>
              <w:left w:val="nil"/>
              <w:bottom w:val="nil"/>
              <w:right w:val="nil"/>
            </w:tcBorders>
            <w:tcMar>
              <w:top w:w="0" w:type="dxa"/>
              <w:left w:w="62" w:type="dxa"/>
              <w:bottom w:w="0" w:type="dxa"/>
              <w:right w:w="62" w:type="dxa"/>
            </w:tcMar>
          </w:tcPr>
          <w:p w:rsidR="00000000" w:rsidRPr="0010030A" w:rsidP="0010030A">
            <w:pPr>
              <w:pStyle w:val="List"/>
            </w:pPr>
            <w:r w:rsidRPr="0010030A">
              <w:t>1.1. Complete health assessments according to scope o</w:t>
            </w:r>
            <w:r w:rsidRPr="0010030A">
              <w:t>f practice and organisational standard treatment protocols.</w:t>
            </w:r>
          </w:p>
          <w:p w:rsidR="00000000" w:rsidRPr="0010030A" w:rsidP="0010030A">
            <w:pPr>
              <w:pStyle w:val="List"/>
            </w:pPr>
            <w:r w:rsidRPr="0010030A">
              <w:t>1.2. Consult relevant health professionals and available documentation about client health.</w:t>
            </w:r>
          </w:p>
          <w:p w:rsidR="00000000" w:rsidRPr="0010030A" w:rsidP="0010030A">
            <w:pPr>
              <w:pStyle w:val="List"/>
            </w:pPr>
            <w:r w:rsidRPr="0010030A">
              <w:t xml:space="preserve">1.3. Obtain client and family medical and social history and discuss specific presenting problems using </w:t>
            </w:r>
            <w:r w:rsidRPr="0010030A">
              <w:t>culturally appropriate and safe communication.</w:t>
            </w:r>
          </w:p>
          <w:p w:rsidR="00000000" w:rsidRPr="0010030A" w:rsidP="0010030A">
            <w:pPr>
              <w:pStyle w:val="List"/>
            </w:pPr>
            <w:r w:rsidRPr="0010030A">
              <w:t>1.4. Obtain client information about effectiveness of any current medications and treatments.</w:t>
            </w:r>
          </w:p>
          <w:p w:rsidR="00000000" w:rsidRPr="0010030A" w:rsidP="0010030A">
            <w:pPr>
              <w:pStyle w:val="List"/>
            </w:pPr>
            <w:r w:rsidRPr="0010030A">
              <w:t>1.5. Explain organisational requirements for maintaining confidentiality of information and permissions for disclos</w:t>
            </w:r>
            <w:r w:rsidRPr="0010030A">
              <w:t>ure.</w:t>
            </w:r>
          </w:p>
          <w:p w:rsidR="00000000" w:rsidRPr="0010030A" w:rsidP="0010030A">
            <w:pPr>
              <w:pStyle w:val="List"/>
            </w:pPr>
            <w:r w:rsidRPr="0010030A">
              <w:t>1.6. Accurately document client history according to organisational policies and procedures.</w:t>
            </w:r>
          </w:p>
          <w:p w:rsidR="00000000" w:rsidP="0010030A">
            <w:pPr>
              <w:pStyle w:val="List"/>
              <w:rPr>
                <w:lang w:val="en-NZ"/>
              </w:rPr>
            </w:pPr>
            <w:r w:rsidRPr="0010030A">
              <w:t>1.7. Determine specific examination and test requirements from information gathered.</w:t>
            </w:r>
          </w:p>
        </w:tc>
      </w:tr>
      <w:tr w:rsidTr="0010030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0030A">
            <w:pPr>
              <w:pStyle w:val="List"/>
              <w:rPr>
                <w:lang w:val="en-NZ"/>
              </w:rPr>
            </w:pPr>
            <w:r w:rsidRPr="0010030A">
              <w:t>2.  Complete physical examination and tests.</w:t>
            </w:r>
          </w:p>
        </w:tc>
        <w:tc>
          <w:tcPr>
            <w:tcW w:w="6350" w:type="dxa"/>
            <w:tcBorders>
              <w:top w:val="nil"/>
              <w:left w:val="nil"/>
              <w:bottom w:val="nil"/>
              <w:right w:val="nil"/>
            </w:tcBorders>
            <w:tcMar>
              <w:top w:w="0" w:type="dxa"/>
              <w:left w:w="62" w:type="dxa"/>
              <w:bottom w:w="0" w:type="dxa"/>
              <w:right w:w="62" w:type="dxa"/>
            </w:tcMar>
          </w:tcPr>
          <w:p w:rsidR="00000000" w:rsidRPr="0010030A" w:rsidP="0010030A">
            <w:pPr>
              <w:pStyle w:val="List"/>
            </w:pPr>
            <w:r w:rsidRPr="0010030A">
              <w:t>2.1. Explain the reason and procedures for each examination to the client, confirm understanding and obtain informed consent.</w:t>
            </w:r>
          </w:p>
          <w:p w:rsidR="00000000" w:rsidRPr="0010030A" w:rsidP="0010030A">
            <w:pPr>
              <w:pStyle w:val="List"/>
            </w:pPr>
            <w:r w:rsidRPr="0010030A">
              <w:t>2.2. Implement required infection control precautions according to examination and test requirements.</w:t>
            </w:r>
          </w:p>
          <w:p w:rsidR="00000000" w:rsidRPr="0010030A" w:rsidP="0010030A">
            <w:pPr>
              <w:pStyle w:val="List"/>
            </w:pPr>
            <w:r w:rsidRPr="0010030A">
              <w:t>2.3. Use correct protocols t</w:t>
            </w:r>
            <w:r w:rsidRPr="0010030A">
              <w:t>o measure vital signs and identify any significant variation from normal reference range.</w:t>
            </w:r>
          </w:p>
          <w:p w:rsidR="00000000" w:rsidRPr="0010030A" w:rsidP="0010030A">
            <w:pPr>
              <w:pStyle w:val="List"/>
            </w:pPr>
            <w:r w:rsidRPr="0010030A">
              <w:t>2.4. Conduct physical examination and tests based on observations and client’s presentation, and with respect for community values, beliefs and gender roles.</w:t>
            </w:r>
          </w:p>
          <w:p w:rsidR="00000000" w:rsidP="0010030A">
            <w:pPr>
              <w:pStyle w:val="List"/>
              <w:rPr>
                <w:lang w:val="en-NZ"/>
              </w:rPr>
            </w:pPr>
            <w:r w:rsidRPr="0010030A">
              <w:t>2.5. Acc</w:t>
            </w:r>
            <w:r w:rsidRPr="0010030A">
              <w:t>urately record details of all measurements, examinations and tests according to organisational policies and procedures.</w:t>
            </w:r>
          </w:p>
        </w:tc>
      </w:tr>
      <w:tr w:rsidTr="0010030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0030A">
            <w:pPr>
              <w:pStyle w:val="List"/>
              <w:rPr>
                <w:lang w:val="en-NZ"/>
              </w:rPr>
            </w:pPr>
            <w:r w:rsidRPr="0010030A">
              <w:t>3.  Evaluate, present and confirm health assessment findings.</w:t>
            </w:r>
          </w:p>
        </w:tc>
        <w:tc>
          <w:tcPr>
            <w:tcW w:w="6350" w:type="dxa"/>
            <w:tcBorders>
              <w:top w:val="nil"/>
              <w:left w:val="nil"/>
              <w:bottom w:val="nil"/>
              <w:right w:val="nil"/>
            </w:tcBorders>
            <w:tcMar>
              <w:top w:w="0" w:type="dxa"/>
              <w:left w:w="62" w:type="dxa"/>
              <w:bottom w:w="0" w:type="dxa"/>
              <w:right w:w="62" w:type="dxa"/>
            </w:tcMar>
          </w:tcPr>
          <w:p w:rsidR="00000000" w:rsidRPr="0010030A" w:rsidP="0010030A">
            <w:pPr>
              <w:pStyle w:val="List"/>
            </w:pPr>
            <w:r w:rsidRPr="0010030A">
              <w:t>3.1. Evaluate examination and test results to identify signs and symptoms</w:t>
            </w:r>
            <w:r w:rsidRPr="0010030A">
              <w:t xml:space="preserve"> of common, uncomplicated health conditions.</w:t>
            </w:r>
          </w:p>
          <w:p w:rsidR="00000000" w:rsidRPr="0010030A" w:rsidP="0010030A">
            <w:pPr>
              <w:pStyle w:val="List"/>
            </w:pPr>
            <w:r w:rsidRPr="0010030A">
              <w:t>3.2. Recognise from examinations and tests signs and symptoms of potentially serious health problems and trigger referral for further investigation.</w:t>
            </w:r>
          </w:p>
          <w:p w:rsidR="00000000" w:rsidRPr="0010030A" w:rsidP="0010030A">
            <w:pPr>
              <w:pStyle w:val="List"/>
            </w:pPr>
            <w:r w:rsidRPr="0010030A">
              <w:t>3.3. Determine own interpretation of client’s current health s</w:t>
            </w:r>
            <w:r w:rsidRPr="0010030A">
              <w:t>tatus based on history, presenting problems, examination and test results.</w:t>
            </w:r>
          </w:p>
          <w:p w:rsidR="00000000" w:rsidRPr="0010030A" w:rsidP="0010030A">
            <w:pPr>
              <w:pStyle w:val="List"/>
            </w:pPr>
            <w:r w:rsidRPr="0010030A">
              <w:t xml:space="preserve">3.4. Provide clear and accurate reports and consult with other </w:t>
            </w:r>
            <w:r w:rsidRPr="0010030A">
              <w:t>health care team members to verify results and confirm client’s health status.</w:t>
            </w:r>
          </w:p>
          <w:p w:rsidR="00000000" w:rsidRPr="0010030A" w:rsidP="0010030A">
            <w:pPr>
              <w:pStyle w:val="List"/>
            </w:pPr>
            <w:r w:rsidRPr="0010030A">
              <w:t>3.5. Report any confirmed notifiable di</w:t>
            </w:r>
            <w:r w:rsidRPr="0010030A">
              <w:t>seases according to procedural and legal requirements and within scope of own responsibility.</w:t>
            </w:r>
          </w:p>
          <w:p w:rsidR="00000000" w:rsidP="0010030A">
            <w:pPr>
              <w:pStyle w:val="List"/>
              <w:rPr>
                <w:lang w:val="en-NZ"/>
              </w:rPr>
            </w:pPr>
            <w:r w:rsidRPr="0010030A">
              <w:t>3.6. Update client records with health assessment details according to organisational policies and procedures.</w:t>
            </w:r>
          </w:p>
        </w:tc>
      </w:tr>
      <w:tr w:rsidTr="0010030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0030A">
            <w:pPr>
              <w:pStyle w:val="List"/>
              <w:rPr>
                <w:lang w:val="en-NZ"/>
              </w:rPr>
            </w:pPr>
            <w:r w:rsidRPr="0010030A">
              <w:t>4.  Discuss assessment outcomes with client and/or</w:t>
            </w:r>
            <w:r w:rsidRPr="0010030A">
              <w:t xml:space="preserve"> significant others.</w:t>
            </w:r>
          </w:p>
        </w:tc>
        <w:tc>
          <w:tcPr>
            <w:tcW w:w="6350" w:type="dxa"/>
            <w:tcBorders>
              <w:top w:val="nil"/>
              <w:left w:val="nil"/>
              <w:bottom w:val="nil"/>
              <w:right w:val="nil"/>
            </w:tcBorders>
            <w:tcMar>
              <w:top w:w="0" w:type="dxa"/>
              <w:left w:w="62" w:type="dxa"/>
              <w:bottom w:w="0" w:type="dxa"/>
              <w:right w:w="62" w:type="dxa"/>
            </w:tcMar>
          </w:tcPr>
          <w:p w:rsidR="00000000" w:rsidRPr="0010030A" w:rsidP="0010030A">
            <w:pPr>
              <w:pStyle w:val="List"/>
            </w:pPr>
            <w:r w:rsidRPr="0010030A">
              <w:t>4.1. Provide information about verified assessment results in plain language using culturally appropriate and safe communication.</w:t>
            </w:r>
          </w:p>
          <w:p w:rsidR="00000000" w:rsidRPr="0010030A" w:rsidP="0010030A">
            <w:pPr>
              <w:pStyle w:val="List"/>
            </w:pPr>
            <w:r w:rsidRPr="0010030A">
              <w:t>4.2. Discuss options for treatments and other interventions.</w:t>
            </w:r>
          </w:p>
          <w:p w:rsidR="00000000" w:rsidRPr="0010030A" w:rsidP="0010030A">
            <w:pPr>
              <w:pStyle w:val="List"/>
            </w:pPr>
            <w:r w:rsidRPr="0010030A">
              <w:t>4.3. Encourage client and/or significant others to question and clarify outcomes, and purpose of potential treatments and interventions.</w:t>
            </w:r>
          </w:p>
          <w:p w:rsidR="00000000" w:rsidRPr="0010030A" w:rsidP="0010030A">
            <w:pPr>
              <w:pStyle w:val="List"/>
            </w:pPr>
            <w:r w:rsidRPr="0010030A">
              <w:t>4.4. Confirm understanding and document information provided in client records.</w:t>
            </w:r>
          </w:p>
        </w:tc>
      </w:tr>
    </w:tbl>
    <w:p w:rsidR="00000000" w:rsidRPr="0010030A" w:rsidP="0010030A">
      <w:pPr>
        <w:pStyle w:val="BodyText"/>
      </w:pPr>
    </w:p>
    <w:p w:rsidR="00000000" w:rsidRPr="0010030A" w:rsidP="0010030A">
      <w:pPr>
        <w:pStyle w:val="AllowPageBreak"/>
      </w:pPr>
    </w:p>
    <w:p w:rsidR="00000000" w:rsidRPr="0010030A" w:rsidP="0010030A">
      <w:pPr>
        <w:pStyle w:val="Heading1"/>
      </w:pPr>
      <w:bookmarkStart w:id="7" w:name="O_1277183"/>
      <w:bookmarkEnd w:id="7"/>
      <w:r w:rsidRPr="0010030A">
        <w:t>Foundation Skills</w:t>
      </w:r>
    </w:p>
    <w:tbl>
      <w:tblPr>
        <w:tblW w:w="0" w:type="auto"/>
        <w:tblLayout w:type="fixed"/>
        <w:tblCellMar>
          <w:left w:w="62" w:type="dxa"/>
          <w:right w:w="62" w:type="dxa"/>
        </w:tblCellMar>
        <w:tblLook w:val="0000"/>
      </w:tblPr>
      <w:tblGrid>
        <w:gridCol w:w="2694"/>
        <w:gridCol w:w="6350"/>
      </w:tblGrid>
      <w:tr w:rsidTr="0010030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0030A">
            <w:pPr>
              <w:pStyle w:val="BodyText"/>
              <w:rPr>
                <w:lang w:val="en-NZ"/>
              </w:rPr>
            </w:pPr>
            <w:r w:rsidRPr="0010030A">
              <w:rPr>
                <w:rStyle w:val="Emphasis"/>
              </w:rPr>
              <w:t>Foundation skills essential to performance in this unit, but not explicit in the performance criteria are listed here, along with a brief context statement.</w:t>
            </w:r>
          </w:p>
        </w:tc>
      </w:tr>
      <w:tr w:rsidTr="001003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0030A" w:rsidP="0010030A">
            <w:pPr>
              <w:pStyle w:val="BodyText"/>
            </w:pPr>
            <w:r w:rsidRPr="0010030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0030A">
            <w:pPr>
              <w:pStyle w:val="BodyText"/>
              <w:rPr>
                <w:lang w:val="en-NZ"/>
              </w:rPr>
            </w:pPr>
            <w:r w:rsidRPr="0010030A">
              <w:rPr>
                <w:rStyle w:val="SpecialBold"/>
              </w:rPr>
              <w:t>DESCRIPTION</w:t>
            </w:r>
          </w:p>
        </w:tc>
      </w:tr>
      <w:tr w:rsidTr="001003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0030A">
            <w:pPr>
              <w:pStyle w:val="BodyText"/>
              <w:rPr>
                <w:lang w:val="en-NZ"/>
              </w:rPr>
            </w:pPr>
            <w:r w:rsidRPr="0010030A">
              <w:t>Reading skills to:</w:t>
            </w:r>
          </w:p>
        </w:tc>
        <w:tc>
          <w:tcPr>
            <w:tcW w:w="6350" w:type="dxa"/>
            <w:tcBorders>
              <w:top w:val="nil"/>
              <w:left w:val="nil"/>
              <w:bottom w:val="nil"/>
              <w:right w:val="nil"/>
            </w:tcBorders>
            <w:tcMar>
              <w:top w:w="0" w:type="dxa"/>
              <w:left w:w="62" w:type="dxa"/>
              <w:bottom w:w="0" w:type="dxa"/>
              <w:right w:w="62" w:type="dxa"/>
            </w:tcMar>
          </w:tcPr>
          <w:p w:rsidR="00000000" w:rsidRPr="0010030A" w:rsidP="0010030A">
            <w:pPr>
              <w:pStyle w:val="ListBullet"/>
            </w:pPr>
            <w:r w:rsidRPr="0010030A">
              <w:t>interpret detailed familiar organisational policies and procedures</w:t>
            </w:r>
          </w:p>
          <w:p w:rsidR="00000000" w:rsidP="0010030A">
            <w:pPr>
              <w:pStyle w:val="ListBullet"/>
              <w:rPr>
                <w:lang w:val="en-NZ"/>
              </w:rPr>
            </w:pPr>
            <w:r w:rsidRPr="0010030A">
              <w:t>interpret sometimes complex and unfamiliar standard treatment protocols and client records involving medical terminology and abbreviations.</w:t>
            </w:r>
          </w:p>
        </w:tc>
      </w:tr>
      <w:tr w:rsidTr="001003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0030A">
            <w:pPr>
              <w:pStyle w:val="BodyText"/>
              <w:rPr>
                <w:lang w:val="en-NZ"/>
              </w:rPr>
            </w:pPr>
            <w:r w:rsidRPr="0010030A">
              <w:t>Writing skills to:</w:t>
            </w:r>
          </w:p>
        </w:tc>
        <w:tc>
          <w:tcPr>
            <w:tcW w:w="6350" w:type="dxa"/>
            <w:tcBorders>
              <w:top w:val="nil"/>
              <w:left w:val="nil"/>
              <w:bottom w:val="nil"/>
              <w:right w:val="nil"/>
            </w:tcBorders>
            <w:tcMar>
              <w:top w:w="0" w:type="dxa"/>
              <w:left w:w="62" w:type="dxa"/>
              <w:bottom w:w="0" w:type="dxa"/>
              <w:right w:w="62" w:type="dxa"/>
            </w:tcMar>
          </w:tcPr>
          <w:p w:rsidR="00000000" w:rsidP="0010030A">
            <w:pPr>
              <w:pStyle w:val="ListBullet"/>
              <w:rPr>
                <w:lang w:val="en-NZ"/>
              </w:rPr>
            </w:pPr>
            <w:r w:rsidRPr="0010030A">
              <w:t>use fundamental sentence str</w:t>
            </w:r>
            <w:r w:rsidRPr="0010030A">
              <w:t>ucture, health terminology and abbreviations to complete forms and reports that require factual information.</w:t>
            </w:r>
          </w:p>
        </w:tc>
      </w:tr>
      <w:tr w:rsidTr="001003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0030A">
            <w:pPr>
              <w:pStyle w:val="BodyText"/>
              <w:rPr>
                <w:lang w:val="en-NZ"/>
              </w:rPr>
            </w:pPr>
            <w:r w:rsidRPr="0010030A">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10030A">
            <w:pPr>
              <w:pStyle w:val="ListBullet"/>
              <w:rPr>
                <w:lang w:val="en-NZ"/>
              </w:rPr>
            </w:pPr>
            <w:r w:rsidRPr="0010030A">
              <w:t>ask open and closed probe questions and actively listen to elicit information from clients and determine understand</w:t>
            </w:r>
            <w:r w:rsidRPr="0010030A">
              <w:t>ing of information provided.</w:t>
            </w:r>
          </w:p>
        </w:tc>
      </w:tr>
      <w:tr w:rsidTr="001003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0030A">
            <w:pPr>
              <w:pStyle w:val="BodyText"/>
              <w:rPr>
                <w:lang w:val="en-NZ"/>
              </w:rPr>
            </w:pPr>
            <w:r w:rsidRPr="0010030A">
              <w:t>Numeracy skills to:</w:t>
            </w:r>
          </w:p>
        </w:tc>
        <w:tc>
          <w:tcPr>
            <w:tcW w:w="6350" w:type="dxa"/>
            <w:tcBorders>
              <w:top w:val="nil"/>
              <w:left w:val="nil"/>
              <w:bottom w:val="nil"/>
              <w:right w:val="nil"/>
            </w:tcBorders>
            <w:tcMar>
              <w:top w:w="0" w:type="dxa"/>
              <w:left w:w="62" w:type="dxa"/>
              <w:bottom w:w="0" w:type="dxa"/>
              <w:right w:w="62" w:type="dxa"/>
            </w:tcMar>
          </w:tcPr>
          <w:p w:rsidR="00000000" w:rsidRPr="0010030A" w:rsidP="0010030A">
            <w:pPr>
              <w:pStyle w:val="ListBullet"/>
            </w:pPr>
            <w:r w:rsidRPr="0010030A">
              <w:t>interpret sometimes complex medical numerical data and abbreviations in standard treatment protocols and client records</w:t>
            </w:r>
          </w:p>
          <w:p w:rsidR="00000000" w:rsidRPr="0010030A" w:rsidP="0010030A">
            <w:pPr>
              <w:pStyle w:val="ListBullet"/>
            </w:pPr>
            <w:r w:rsidRPr="0010030A">
              <w:t>take and record accurate measurements involving weights, lengths, rates and degrees</w:t>
            </w:r>
          </w:p>
          <w:p w:rsidR="00000000" w:rsidRPr="0010030A" w:rsidP="0010030A">
            <w:pPr>
              <w:pStyle w:val="ListBullet"/>
            </w:pPr>
            <w:r w:rsidRPr="0010030A">
              <w:t>c</w:t>
            </w:r>
            <w:r w:rsidRPr="0010030A">
              <w:t>omplete calculations involving, percentages and ratios</w:t>
            </w:r>
          </w:p>
          <w:p w:rsidR="00000000" w:rsidP="0010030A">
            <w:pPr>
              <w:pStyle w:val="ListBullet"/>
              <w:rPr>
                <w:lang w:val="en-NZ"/>
              </w:rPr>
            </w:pPr>
            <w:r w:rsidRPr="0010030A">
              <w:t>document medical numerical abbreviations in client records.</w:t>
            </w:r>
          </w:p>
        </w:tc>
      </w:tr>
      <w:tr w:rsidTr="001003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0030A">
            <w:pPr>
              <w:pStyle w:val="BodyText"/>
              <w:rPr>
                <w:lang w:val="en-NZ"/>
              </w:rPr>
            </w:pPr>
            <w:r w:rsidRPr="0010030A">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10030A">
            <w:pPr>
              <w:pStyle w:val="ListBullet"/>
              <w:rPr>
                <w:lang w:val="en-NZ"/>
              </w:rPr>
            </w:pPr>
            <w:r w:rsidRPr="0010030A">
              <w:t xml:space="preserve">determine a structured approach for health assessments and complete physical examinations and tests </w:t>
            </w:r>
            <w:r w:rsidRPr="0010030A">
              <w:t>in a logical, time efficient sequence.</w:t>
            </w:r>
          </w:p>
        </w:tc>
      </w:tr>
      <w:tr w:rsidTr="001003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0030A">
            <w:pPr>
              <w:pStyle w:val="BodyText"/>
              <w:rPr>
                <w:lang w:val="en-NZ"/>
              </w:rPr>
            </w:pPr>
            <w:r w:rsidRPr="0010030A">
              <w:t>Technology skills to:</w:t>
            </w:r>
          </w:p>
        </w:tc>
        <w:tc>
          <w:tcPr>
            <w:tcW w:w="6350" w:type="dxa"/>
            <w:tcBorders>
              <w:top w:val="nil"/>
              <w:left w:val="nil"/>
              <w:bottom w:val="nil"/>
              <w:right w:val="nil"/>
            </w:tcBorders>
            <w:tcMar>
              <w:top w:w="0" w:type="dxa"/>
              <w:left w:w="62" w:type="dxa"/>
              <w:bottom w:w="0" w:type="dxa"/>
              <w:right w:w="62" w:type="dxa"/>
            </w:tcMar>
          </w:tcPr>
          <w:p w:rsidR="00000000" w:rsidRPr="0010030A" w:rsidP="0010030A">
            <w:pPr>
              <w:pStyle w:val="ListBullet"/>
            </w:pPr>
            <w:r w:rsidRPr="0010030A">
              <w:t>select and use medical equipment suited to purpose of physical examination and client characteristics.</w:t>
            </w:r>
          </w:p>
        </w:tc>
      </w:tr>
    </w:tbl>
    <w:p w:rsidR="00000000" w:rsidRPr="0010030A" w:rsidP="0010030A">
      <w:pPr>
        <w:pStyle w:val="BodyText"/>
      </w:pPr>
    </w:p>
    <w:p w:rsidR="00000000" w:rsidRPr="0010030A" w:rsidP="0010030A">
      <w:pPr>
        <w:pStyle w:val="AllowPageBreak"/>
      </w:pPr>
    </w:p>
    <w:p w:rsidR="00000000" w:rsidRPr="0010030A" w:rsidP="0010030A">
      <w:pPr>
        <w:pStyle w:val="Heading1"/>
      </w:pPr>
      <w:bookmarkStart w:id="8" w:name="O_1277185"/>
      <w:bookmarkEnd w:id="8"/>
      <w:r w:rsidRPr="0010030A">
        <w:t>Unit Mapping Information</w:t>
      </w:r>
    </w:p>
    <w:p w:rsidR="00000000" w:rsidRPr="0010030A" w:rsidP="007C0138">
      <w:pPr>
        <w:pStyle w:val="BodyText"/>
      </w:pPr>
      <w:r w:rsidRPr="0010030A">
        <w:t>This unit supersedes and is not equivalent t</w:t>
      </w:r>
      <w:r w:rsidRPr="0010030A">
        <w:t>o HLTAHW007 Undertake basic health assessments.</w:t>
      </w:r>
    </w:p>
    <w:p w:rsidR="00000000" w:rsidRPr="0010030A" w:rsidP="0010030A">
      <w:pPr>
        <w:pStyle w:val="Heading1"/>
      </w:pPr>
      <w:bookmarkStart w:id="9" w:name="O_1277192"/>
      <w:bookmarkEnd w:id="9"/>
      <w:r w:rsidRPr="0010030A">
        <w:t>Links</w:t>
      </w:r>
    </w:p>
    <w:p w:rsidR="00000000" w:rsidRPr="0010030A" w:rsidP="007C0138">
      <w:pPr>
        <w:pStyle w:val="BodyText"/>
      </w:pPr>
      <w:r w:rsidRPr="0010030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A5A8E">
        <w:rPr>
          <w:rStyle w:val="Hyperlink"/>
        </w:rPr>
        <w:t>https://vetnet.gov.au/Pages/TrainingDocs.aspx?q=ced1390f-48d9-4ab0-bd50-b015e5485705</w:t>
      </w:r>
      <w:r>
        <w:fldChar w:fldCharType="end"/>
      </w:r>
    </w:p>
    <w:p w:rsidR="00000000" w:rsidRPr="0010030A" w:rsidP="007C0138">
      <w:pPr>
        <w:pStyle w:val="BodyText"/>
        <w:sectPr w:rsidSect="0010030A">
          <w:headerReference w:type="default" r:id="rId10"/>
          <w:footerReference w:type="default" r:id="rId11"/>
          <w:pgSz w:w="11908" w:h="16833"/>
          <w:pgMar w:top="1702" w:right="1418" w:bottom="1702" w:left="1418" w:header="992" w:footer="992" w:gutter="0"/>
          <w:cols w:space="720"/>
          <w:noEndnote/>
          <w:docGrid w:linePitch="299"/>
        </w:sectPr>
      </w:pPr>
    </w:p>
    <w:p w:rsidR="00000000" w:rsidRPr="0010030A" w:rsidP="0010030A">
      <w:pPr>
        <w:pStyle w:val="SuperHeading"/>
      </w:pPr>
      <w:r w:rsidRPr="0010030A">
        <w:t>Assessment Requirements for HLTAHCS003 Complete routine physical health assessments</w:t>
      </w:r>
    </w:p>
    <w:p w:rsidR="00000000" w:rsidRPr="0010030A" w:rsidP="0010030A">
      <w:pPr>
        <w:pStyle w:val="Heading1"/>
      </w:pPr>
      <w:bookmarkStart w:id="10" w:name="O_1277187"/>
      <w:bookmarkEnd w:id="10"/>
      <w:r w:rsidRPr="0010030A">
        <w:t>Modification History</w:t>
      </w:r>
    </w:p>
    <w:p w:rsidR="00000000" w:rsidRPr="0010030A" w:rsidP="007C0138">
      <w:pPr>
        <w:pStyle w:val="BodyText"/>
      </w:pPr>
      <w:r w:rsidRPr="0010030A">
        <w:t>Not applicable.</w:t>
      </w:r>
    </w:p>
    <w:p w:rsidR="00000000" w:rsidRPr="0010030A" w:rsidP="0010030A">
      <w:pPr>
        <w:pStyle w:val="Heading1"/>
      </w:pPr>
      <w:bookmarkStart w:id="11" w:name="O_1277188"/>
      <w:bookmarkEnd w:id="11"/>
      <w:r w:rsidRPr="0010030A">
        <w:t>Performance Evidence</w:t>
      </w:r>
    </w:p>
    <w:p w:rsidR="00000000" w:rsidRPr="0010030A" w:rsidP="007C0138">
      <w:pPr>
        <w:pStyle w:val="BodyText"/>
      </w:pPr>
      <w:r w:rsidRPr="0010030A">
        <w:t xml:space="preserve">Evidence of the </w:t>
      </w:r>
      <w:r w:rsidRPr="0010030A">
        <w:t>ability to complete tasks outlined in elements and performance criteria of this unit in the context of the job role, and:</w:t>
      </w:r>
    </w:p>
    <w:p w:rsidR="00000000" w:rsidRPr="0010030A" w:rsidP="0010030A">
      <w:pPr>
        <w:pStyle w:val="ListBullet"/>
      </w:pPr>
      <w:r w:rsidRPr="0010030A">
        <w:t>complete a physical health assessment of a total of five Aboriginal and/or Torres Strait Islander clients to collectively include:</w:t>
      </w:r>
    </w:p>
    <w:p w:rsidR="00000000" w:rsidRPr="0010030A" w:rsidP="0010030A">
      <w:pPr>
        <w:pStyle w:val="ListBullet2"/>
      </w:pPr>
      <w:r w:rsidRPr="0010030A">
        <w:t>f</w:t>
      </w:r>
      <w:r w:rsidRPr="0010030A">
        <w:t>emales</w:t>
      </w:r>
    </w:p>
    <w:p w:rsidR="00000000" w:rsidRPr="0010030A" w:rsidP="0010030A">
      <w:pPr>
        <w:pStyle w:val="ListBullet2"/>
      </w:pPr>
      <w:r w:rsidRPr="0010030A">
        <w:t>males</w:t>
      </w:r>
    </w:p>
    <w:p w:rsidR="00000000" w:rsidRPr="0010030A" w:rsidP="0010030A">
      <w:pPr>
        <w:pStyle w:val="ListBullet2"/>
      </w:pPr>
      <w:r w:rsidRPr="0010030A">
        <w:t>people across the lifespan including children and adolescents through to the elderly</w:t>
      </w:r>
    </w:p>
    <w:p w:rsidR="00000000" w:rsidRPr="0010030A" w:rsidP="0010030A">
      <w:pPr>
        <w:pStyle w:val="ListBullet"/>
      </w:pPr>
      <w:r w:rsidRPr="0010030A">
        <w:t>for each of the five clients, complete a head to toe physical examination and tests:</w:t>
      </w:r>
    </w:p>
    <w:p w:rsidR="00000000" w:rsidRPr="0010030A" w:rsidP="0010030A">
      <w:pPr>
        <w:pStyle w:val="ListBullet2"/>
      </w:pPr>
      <w:r w:rsidRPr="0010030A">
        <w:t>measurement of height, weight and waist circumference and calculation of body mass index</w:t>
      </w:r>
    </w:p>
    <w:p w:rsidR="00000000" w:rsidRPr="0010030A" w:rsidP="0010030A">
      <w:pPr>
        <w:pStyle w:val="ListBullet2"/>
      </w:pPr>
      <w:r w:rsidRPr="0010030A">
        <w:t>measurement of temperature</w:t>
      </w:r>
    </w:p>
    <w:p w:rsidR="00000000" w:rsidRPr="0010030A" w:rsidP="0010030A">
      <w:pPr>
        <w:pStyle w:val="ListBullet2"/>
      </w:pPr>
      <w:r w:rsidRPr="0010030A">
        <w:t>measurement of blood pressure, pulse rate and rhythm</w:t>
      </w:r>
    </w:p>
    <w:p w:rsidR="00000000" w:rsidRPr="0010030A" w:rsidP="0010030A">
      <w:pPr>
        <w:pStyle w:val="ListBullet2"/>
      </w:pPr>
      <w:r w:rsidRPr="0010030A">
        <w:t>measurement of respiratory rate and peak flow</w:t>
      </w:r>
    </w:p>
    <w:p w:rsidR="00000000" w:rsidRPr="0010030A" w:rsidP="0010030A">
      <w:pPr>
        <w:pStyle w:val="ListBullet2"/>
      </w:pPr>
      <w:r w:rsidRPr="0010030A">
        <w:t>examination of:</w:t>
      </w:r>
    </w:p>
    <w:p w:rsidR="00000000" w:rsidRPr="0010030A" w:rsidP="0010030A">
      <w:pPr>
        <w:pStyle w:val="ListBullet3"/>
      </w:pPr>
      <w:r w:rsidRPr="0010030A">
        <w:t>eyes, including physical</w:t>
      </w:r>
      <w:r w:rsidRPr="0010030A">
        <w:t xml:space="preserve"> examination and vision test</w:t>
      </w:r>
    </w:p>
    <w:p w:rsidR="00000000" w:rsidRPr="0010030A" w:rsidP="0010030A">
      <w:pPr>
        <w:pStyle w:val="ListBullet3"/>
      </w:pPr>
      <w:r w:rsidRPr="0010030A">
        <w:t>ears and hearing, including otoscopy</w:t>
      </w:r>
    </w:p>
    <w:p w:rsidR="00000000" w:rsidRPr="0010030A" w:rsidP="0010030A">
      <w:pPr>
        <w:pStyle w:val="ListBullet3"/>
      </w:pPr>
      <w:r w:rsidRPr="0010030A">
        <w:t>mouth, throat, teeth and gums</w:t>
      </w:r>
    </w:p>
    <w:p w:rsidR="00000000" w:rsidRPr="0010030A" w:rsidP="0010030A">
      <w:pPr>
        <w:pStyle w:val="ListBullet3"/>
      </w:pPr>
      <w:r w:rsidRPr="0010030A">
        <w:t>skin</w:t>
      </w:r>
    </w:p>
    <w:p w:rsidR="00000000" w:rsidRPr="0010030A" w:rsidP="0010030A">
      <w:pPr>
        <w:pStyle w:val="ListBullet3"/>
      </w:pPr>
      <w:r w:rsidRPr="0010030A">
        <w:t>hands and feet including observations for infective and fungal issues, oedema, abnormalities in the structure and shape, and nerve damage</w:t>
      </w:r>
    </w:p>
    <w:p w:rsidR="00000000" w:rsidRPr="0010030A" w:rsidP="0010030A">
      <w:pPr>
        <w:pStyle w:val="ListBullet3"/>
      </w:pPr>
      <w:r w:rsidRPr="0010030A">
        <w:t>chest by visual and aural observation of respiration for any signs of congestion and distress</w:t>
      </w:r>
    </w:p>
    <w:p w:rsidR="00000000" w:rsidRPr="0010030A" w:rsidP="0010030A">
      <w:pPr>
        <w:pStyle w:val="ListBullet3"/>
      </w:pPr>
      <w:r w:rsidRPr="0010030A">
        <w:t>abdomen by visual observation</w:t>
      </w:r>
    </w:p>
    <w:p w:rsidR="00000000" w:rsidRPr="0010030A" w:rsidP="0010030A">
      <w:pPr>
        <w:pStyle w:val="ListBullet2"/>
      </w:pPr>
      <w:r w:rsidRPr="0010030A">
        <w:t>urinalysis via dipstick testing</w:t>
      </w:r>
    </w:p>
    <w:p w:rsidR="00000000" w:rsidRPr="0010030A" w:rsidP="0010030A">
      <w:pPr>
        <w:pStyle w:val="ListBullet2"/>
      </w:pPr>
      <w:r w:rsidRPr="0010030A">
        <w:t>blood glucose test with a blood glucose testing meter</w:t>
      </w:r>
    </w:p>
    <w:p w:rsidR="00000000" w:rsidRPr="0010030A" w:rsidP="0010030A">
      <w:pPr>
        <w:pStyle w:val="ListBullet2"/>
      </w:pPr>
      <w:r w:rsidRPr="0010030A">
        <w:t>examinations for specific presenting problems</w:t>
      </w:r>
    </w:p>
    <w:p w:rsidR="00000000" w:rsidRPr="0010030A" w:rsidP="0010030A">
      <w:pPr>
        <w:pStyle w:val="ListBullet"/>
      </w:pPr>
      <w:r w:rsidRPr="0010030A">
        <w:t>for each of the five clients:</w:t>
      </w:r>
    </w:p>
    <w:p w:rsidR="00000000" w:rsidRPr="0010030A" w:rsidP="0010030A">
      <w:pPr>
        <w:pStyle w:val="ListBullet2"/>
      </w:pPr>
      <w:r w:rsidRPr="0010030A">
        <w:t>evaluate all assessment information and report own interpretation of client’s current health status to health care team</w:t>
      </w:r>
    </w:p>
    <w:p w:rsidR="00000000" w:rsidRPr="0010030A" w:rsidP="0010030A">
      <w:pPr>
        <w:pStyle w:val="ListBullet2"/>
      </w:pPr>
      <w:r w:rsidRPr="0010030A">
        <w:t>consult with the health care team to verify assessment results and confirm client’s health status</w:t>
      </w:r>
    </w:p>
    <w:p w:rsidR="00000000" w:rsidRPr="0010030A" w:rsidP="0010030A">
      <w:pPr>
        <w:pStyle w:val="ListBullet2"/>
      </w:pPr>
      <w:r w:rsidRPr="0010030A">
        <w:t>discuss assessment outcomes with the client</w:t>
      </w:r>
    </w:p>
    <w:p w:rsidR="00000000" w:rsidRPr="0010030A" w:rsidP="0010030A">
      <w:pPr>
        <w:pStyle w:val="ListBullet2"/>
      </w:pPr>
      <w:r w:rsidRPr="0010030A">
        <w:t>document, in client’s records, accurate details of:</w:t>
      </w:r>
    </w:p>
    <w:p w:rsidR="00000000" w:rsidRPr="0010030A" w:rsidP="0010030A">
      <w:pPr>
        <w:pStyle w:val="ListBullet3"/>
      </w:pPr>
      <w:r w:rsidRPr="0010030A">
        <w:t>medical and social history</w:t>
      </w:r>
    </w:p>
    <w:p w:rsidR="00000000" w:rsidRPr="0010030A" w:rsidP="0010030A">
      <w:pPr>
        <w:pStyle w:val="ListBullet3"/>
      </w:pPr>
      <w:r w:rsidRPr="0010030A">
        <w:t>observations, examinations and tests completed</w:t>
      </w:r>
    </w:p>
    <w:p w:rsidR="00000000" w:rsidRPr="0010030A" w:rsidP="0010030A">
      <w:pPr>
        <w:pStyle w:val="ListBullet3"/>
      </w:pPr>
      <w:r w:rsidRPr="0010030A">
        <w:t>evaluation notes about the health of each client</w:t>
      </w:r>
    </w:p>
    <w:p w:rsidR="00000000" w:rsidRPr="0010030A" w:rsidP="0010030A">
      <w:pPr>
        <w:pStyle w:val="ListBullet3"/>
      </w:pPr>
      <w:r w:rsidRPr="0010030A">
        <w:t>information and referrals provided to the client</w:t>
      </w:r>
    </w:p>
    <w:p w:rsidR="00000000" w:rsidRPr="0010030A" w:rsidP="0010030A">
      <w:pPr>
        <w:pStyle w:val="ListBullet"/>
      </w:pPr>
      <w:r w:rsidRPr="0010030A">
        <w:t>from assessments personally completed or from case study assessment documentation:</w:t>
      </w:r>
    </w:p>
    <w:p w:rsidR="00000000" w:rsidRPr="0010030A" w:rsidP="0010030A">
      <w:pPr>
        <w:pStyle w:val="ListBullet2"/>
      </w:pPr>
      <w:r w:rsidRPr="0010030A">
        <w:t>identify signs, symptoms and implications of four different potentially serious health problems, and report on and refer</w:t>
      </w:r>
    </w:p>
    <w:p w:rsidR="00000000" w:rsidRPr="0010030A" w:rsidP="0010030A">
      <w:pPr>
        <w:pStyle w:val="ListBullet2"/>
      </w:pPr>
      <w:r w:rsidRPr="0010030A">
        <w:t>identify one notifiable disease and implement procedures to notify.</w:t>
      </w:r>
    </w:p>
    <w:p w:rsidR="00000000" w:rsidRPr="0010030A" w:rsidP="0010030A">
      <w:pPr>
        <w:pStyle w:val="AllowPageBreak"/>
      </w:pPr>
    </w:p>
    <w:p w:rsidR="00000000" w:rsidRPr="0010030A" w:rsidP="0010030A">
      <w:pPr>
        <w:pStyle w:val="Heading1"/>
      </w:pPr>
      <w:bookmarkStart w:id="12" w:name="O_1277189"/>
      <w:bookmarkEnd w:id="12"/>
      <w:r w:rsidRPr="0010030A">
        <w:t>Knowledge Evidence</w:t>
      </w:r>
    </w:p>
    <w:p w:rsidR="00000000" w:rsidRPr="0010030A" w:rsidP="007C0138">
      <w:pPr>
        <w:pStyle w:val="BodyText"/>
      </w:pPr>
      <w:r w:rsidRPr="0010030A">
        <w:t>Demonstrated knowledge required to complete the tasks outlined in elements and performance criteria of this unit:</w:t>
      </w:r>
    </w:p>
    <w:p w:rsidR="00000000" w:rsidRPr="0010030A" w:rsidP="0010030A">
      <w:pPr>
        <w:pStyle w:val="ListBullet"/>
      </w:pPr>
      <w:r w:rsidRPr="0010030A">
        <w:t>organisational policies and procedu</w:t>
      </w:r>
      <w:r w:rsidRPr="0010030A">
        <w:t>res for:</w:t>
      </w:r>
    </w:p>
    <w:p w:rsidR="00000000" w:rsidRPr="0010030A" w:rsidP="0010030A">
      <w:pPr>
        <w:pStyle w:val="ListBullet2"/>
      </w:pPr>
      <w:r w:rsidRPr="0010030A">
        <w:t>maintaining client confidentiality</w:t>
      </w:r>
    </w:p>
    <w:p w:rsidR="00000000" w:rsidRPr="0010030A" w:rsidP="0010030A">
      <w:pPr>
        <w:pStyle w:val="ListBullet2"/>
      </w:pPr>
      <w:r w:rsidRPr="0010030A">
        <w:t>documenting health assessments</w:t>
      </w:r>
    </w:p>
    <w:p w:rsidR="00000000" w:rsidRPr="0010030A" w:rsidP="0010030A">
      <w:pPr>
        <w:pStyle w:val="ListBullet"/>
      </w:pPr>
      <w:r w:rsidRPr="0010030A">
        <w:t>local state or territory legal requirements, and associated organisational procedures for reporting notifiable communicable diseases</w:t>
      </w:r>
    </w:p>
    <w:p w:rsidR="00000000" w:rsidRPr="0010030A" w:rsidP="0010030A">
      <w:pPr>
        <w:pStyle w:val="ListBullet"/>
      </w:pPr>
      <w:r w:rsidRPr="0010030A">
        <w:t>organisational responsibilities and role bound</w:t>
      </w:r>
      <w:r w:rsidRPr="0010030A">
        <w:t>aries of those involved in health assessments:</w:t>
      </w:r>
    </w:p>
    <w:p w:rsidR="00000000" w:rsidRPr="0010030A" w:rsidP="0010030A">
      <w:pPr>
        <w:pStyle w:val="ListBullet2"/>
      </w:pPr>
      <w:r w:rsidRPr="0010030A">
        <w:t>Aboriginal and/or Torres Strait Islander health workers and practitioners</w:t>
      </w:r>
    </w:p>
    <w:p w:rsidR="00000000" w:rsidRPr="0010030A" w:rsidP="0010030A">
      <w:pPr>
        <w:pStyle w:val="ListBullet2"/>
      </w:pPr>
      <w:r w:rsidRPr="0010030A">
        <w:t>medical practitioners, registered nurses and other members of the multidisciplinary care team</w:t>
      </w:r>
    </w:p>
    <w:p w:rsidR="00000000" w:rsidRPr="0010030A" w:rsidP="0010030A">
      <w:pPr>
        <w:pStyle w:val="ListBullet"/>
      </w:pPr>
      <w:r w:rsidRPr="0010030A">
        <w:t>the role of standard treatment protocol</w:t>
      </w:r>
      <w:r w:rsidRPr="0010030A">
        <w:t>s in health assessments:</w:t>
      </w:r>
    </w:p>
    <w:p w:rsidR="00000000" w:rsidRPr="0010030A" w:rsidP="0010030A">
      <w:pPr>
        <w:pStyle w:val="ListBullet2"/>
      </w:pPr>
      <w:r w:rsidRPr="0010030A">
        <w:t>types that are used by primary health care organisations including Standard Treatment Manuals (STM) and how to access</w:t>
      </w:r>
    </w:p>
    <w:p w:rsidR="00000000" w:rsidRPr="0010030A" w:rsidP="0010030A">
      <w:pPr>
        <w:pStyle w:val="ListBullet2"/>
      </w:pPr>
      <w:r w:rsidRPr="0010030A">
        <w:t>purpose, format and inclusions</w:t>
      </w:r>
    </w:p>
    <w:p w:rsidR="00000000" w:rsidRPr="0010030A" w:rsidP="0010030A">
      <w:pPr>
        <w:pStyle w:val="ListBullet2"/>
      </w:pPr>
      <w:r w:rsidRPr="0010030A">
        <w:t>how to use to identify physical health assessment requirements</w:t>
      </w:r>
    </w:p>
    <w:p w:rsidR="00000000" w:rsidRPr="0010030A" w:rsidP="0010030A">
      <w:pPr>
        <w:pStyle w:val="ListBullet"/>
      </w:pPr>
      <w:r w:rsidRPr="0010030A">
        <w:t>key information collected and recorded in medical and social histories for health assessments and how this may differ according to the age of the client</w:t>
      </w:r>
    </w:p>
    <w:p w:rsidR="00000000" w:rsidRPr="0010030A" w:rsidP="0010030A">
      <w:pPr>
        <w:pStyle w:val="ListBullet"/>
      </w:pPr>
      <w:r w:rsidRPr="0010030A">
        <w:t xml:space="preserve">key elements of routine physical health assessments and how types of examinations and tests may differ </w:t>
      </w:r>
      <w:r w:rsidRPr="0010030A">
        <w:t>according to the age of the client and their presentations</w:t>
      </w:r>
    </w:p>
    <w:p w:rsidR="00000000" w:rsidRPr="0010030A" w:rsidP="0010030A">
      <w:pPr>
        <w:pStyle w:val="ListBullet"/>
      </w:pPr>
      <w:r w:rsidRPr="0010030A">
        <w:t>different types of infection control precautions and when these would be used for different types of physical examinations and tests</w:t>
      </w:r>
    </w:p>
    <w:p w:rsidR="00000000" w:rsidRPr="0010030A" w:rsidP="0010030A">
      <w:pPr>
        <w:pStyle w:val="ListBullet"/>
      </w:pPr>
      <w:r w:rsidRPr="0010030A">
        <w:t xml:space="preserve">equipment and procedures for health examinations and tests, and </w:t>
      </w:r>
      <w:r w:rsidRPr="0010030A">
        <w:t>‘normal’ reference range for adults:</w:t>
      </w:r>
    </w:p>
    <w:p w:rsidR="00000000" w:rsidRPr="0010030A" w:rsidP="0010030A">
      <w:pPr>
        <w:pStyle w:val="ListBullet2"/>
      </w:pPr>
      <w:r w:rsidRPr="0010030A">
        <w:t>height, weight, waist circumference and body mass index</w:t>
      </w:r>
    </w:p>
    <w:p w:rsidR="00000000" w:rsidRPr="0010030A" w:rsidP="0010030A">
      <w:pPr>
        <w:pStyle w:val="ListBullet2"/>
      </w:pPr>
      <w:r w:rsidRPr="0010030A">
        <w:t>temperature</w:t>
      </w:r>
    </w:p>
    <w:p w:rsidR="00000000" w:rsidRPr="0010030A" w:rsidP="0010030A">
      <w:pPr>
        <w:pStyle w:val="ListBullet2"/>
      </w:pPr>
      <w:r w:rsidRPr="0010030A">
        <w:t>blood pressure, pulse rate and rhythm</w:t>
      </w:r>
    </w:p>
    <w:p w:rsidR="00000000" w:rsidRPr="0010030A" w:rsidP="0010030A">
      <w:pPr>
        <w:pStyle w:val="ListBullet2"/>
      </w:pPr>
      <w:r w:rsidRPr="0010030A">
        <w:t>respiratory and peak flow rate</w:t>
      </w:r>
    </w:p>
    <w:p w:rsidR="00000000" w:rsidRPr="0010030A" w:rsidP="0010030A">
      <w:pPr>
        <w:pStyle w:val="ListBullet2"/>
      </w:pPr>
      <w:r w:rsidRPr="0010030A">
        <w:t>examination of:</w:t>
      </w:r>
    </w:p>
    <w:p w:rsidR="00000000" w:rsidRPr="0010030A" w:rsidP="0010030A">
      <w:pPr>
        <w:pStyle w:val="ListBullet3"/>
      </w:pPr>
      <w:r w:rsidRPr="0010030A">
        <w:t>eyes, including physical examination and vision test</w:t>
      </w:r>
    </w:p>
    <w:p w:rsidR="00000000" w:rsidRPr="0010030A" w:rsidP="0010030A">
      <w:pPr>
        <w:pStyle w:val="ListBullet3"/>
      </w:pPr>
      <w:r w:rsidRPr="0010030A">
        <w:t>ears and hearing, including otoscopy</w:t>
      </w:r>
    </w:p>
    <w:p w:rsidR="00000000" w:rsidRPr="0010030A" w:rsidP="0010030A">
      <w:pPr>
        <w:pStyle w:val="ListBullet3"/>
      </w:pPr>
      <w:r w:rsidRPr="0010030A">
        <w:t>mouth, throat, teeth and gums</w:t>
      </w:r>
    </w:p>
    <w:p w:rsidR="00000000" w:rsidRPr="0010030A" w:rsidP="0010030A">
      <w:pPr>
        <w:pStyle w:val="ListBullet3"/>
      </w:pPr>
      <w:r w:rsidRPr="0010030A">
        <w:t>skin</w:t>
      </w:r>
    </w:p>
    <w:p w:rsidR="00000000" w:rsidRPr="0010030A" w:rsidP="0010030A">
      <w:pPr>
        <w:pStyle w:val="ListBullet3"/>
      </w:pPr>
      <w:r w:rsidRPr="0010030A">
        <w:t>hands and feet including observations for infective and fungal issues, oedema, abnormalities in the structure and shape, and nerve damage</w:t>
      </w:r>
    </w:p>
    <w:p w:rsidR="00000000" w:rsidRPr="0010030A" w:rsidP="0010030A">
      <w:pPr>
        <w:pStyle w:val="ListBullet3"/>
      </w:pPr>
      <w:r w:rsidRPr="0010030A">
        <w:t>chest including visual and aural observation o</w:t>
      </w:r>
      <w:r w:rsidRPr="0010030A">
        <w:t>f respiration for any signs of congestion or distress</w:t>
      </w:r>
    </w:p>
    <w:p w:rsidR="00000000" w:rsidRPr="0010030A" w:rsidP="0010030A">
      <w:pPr>
        <w:pStyle w:val="ListBullet3"/>
      </w:pPr>
      <w:r w:rsidRPr="0010030A">
        <w:t>abdomen including visual observation</w:t>
      </w:r>
    </w:p>
    <w:p w:rsidR="00000000" w:rsidRPr="0010030A" w:rsidP="0010030A">
      <w:pPr>
        <w:pStyle w:val="ListBullet2"/>
      </w:pPr>
      <w:r w:rsidRPr="0010030A">
        <w:t>urinalysis via dipstick testing</w:t>
      </w:r>
    </w:p>
    <w:p w:rsidR="00000000" w:rsidRPr="0010030A" w:rsidP="0010030A">
      <w:pPr>
        <w:pStyle w:val="ListBullet2"/>
      </w:pPr>
      <w:r w:rsidRPr="0010030A">
        <w:t>blood glucose test with a blood glucose testing meter</w:t>
      </w:r>
    </w:p>
    <w:p w:rsidR="00000000" w:rsidRPr="0010030A" w:rsidP="0010030A">
      <w:pPr>
        <w:pStyle w:val="ListBullet"/>
      </w:pPr>
      <w:r w:rsidRPr="0010030A">
        <w:t>understanding of anatomy and physiology sufficient to identify major body sys</w:t>
      </w:r>
      <w:r w:rsidRPr="0010030A">
        <w:t>tems, associated organs and their overall functions:</w:t>
      </w:r>
    </w:p>
    <w:p w:rsidR="00000000" w:rsidRPr="0010030A" w:rsidP="0010030A">
      <w:pPr>
        <w:pStyle w:val="ListBullet2"/>
      </w:pPr>
      <w:r w:rsidRPr="0010030A">
        <w:t>circulatory system</w:t>
      </w:r>
    </w:p>
    <w:p w:rsidR="00000000" w:rsidRPr="0010030A" w:rsidP="0010030A">
      <w:pPr>
        <w:pStyle w:val="ListBullet2"/>
      </w:pPr>
      <w:r w:rsidRPr="0010030A">
        <w:t>digestive system</w:t>
      </w:r>
    </w:p>
    <w:p w:rsidR="00000000" w:rsidRPr="0010030A" w:rsidP="0010030A">
      <w:pPr>
        <w:pStyle w:val="ListBullet2"/>
      </w:pPr>
      <w:r w:rsidRPr="0010030A">
        <w:t>endocrine system</w:t>
      </w:r>
    </w:p>
    <w:p w:rsidR="00000000" w:rsidRPr="0010030A" w:rsidP="0010030A">
      <w:pPr>
        <w:pStyle w:val="ListBullet2"/>
      </w:pPr>
      <w:r w:rsidRPr="0010030A">
        <w:t>immune system</w:t>
      </w:r>
    </w:p>
    <w:p w:rsidR="00000000" w:rsidRPr="0010030A" w:rsidP="0010030A">
      <w:pPr>
        <w:pStyle w:val="ListBullet2"/>
      </w:pPr>
      <w:r w:rsidRPr="0010030A">
        <w:t>integumentary system</w:t>
      </w:r>
    </w:p>
    <w:p w:rsidR="00000000" w:rsidRPr="0010030A" w:rsidP="0010030A">
      <w:pPr>
        <w:pStyle w:val="ListBullet2"/>
      </w:pPr>
      <w:r w:rsidRPr="0010030A">
        <w:t>musculoskeletal system</w:t>
      </w:r>
    </w:p>
    <w:p w:rsidR="00000000" w:rsidRPr="0010030A" w:rsidP="0010030A">
      <w:pPr>
        <w:pStyle w:val="ListBullet2"/>
      </w:pPr>
      <w:r w:rsidRPr="0010030A">
        <w:t>nervous system</w:t>
      </w:r>
    </w:p>
    <w:p w:rsidR="00000000" w:rsidRPr="0010030A" w:rsidP="0010030A">
      <w:pPr>
        <w:pStyle w:val="ListBullet2"/>
      </w:pPr>
      <w:r w:rsidRPr="0010030A">
        <w:t>reproductive system for females and males</w:t>
      </w:r>
    </w:p>
    <w:p w:rsidR="00000000" w:rsidRPr="0010030A" w:rsidP="0010030A">
      <w:pPr>
        <w:pStyle w:val="ListBullet2"/>
      </w:pPr>
      <w:r w:rsidRPr="0010030A">
        <w:t>respiratory system</w:t>
      </w:r>
    </w:p>
    <w:p w:rsidR="00000000" w:rsidRPr="0010030A" w:rsidP="0010030A">
      <w:pPr>
        <w:pStyle w:val="ListBullet2"/>
      </w:pPr>
      <w:r w:rsidRPr="0010030A">
        <w:t>urinary system</w:t>
      </w:r>
    </w:p>
    <w:p w:rsidR="00000000" w:rsidRPr="0010030A" w:rsidP="0010030A">
      <w:pPr>
        <w:pStyle w:val="ListBullet"/>
      </w:pPr>
      <w:r w:rsidRPr="0010030A">
        <w:t>common short term and uncomplicated health conditions (those that would generally respond to a course of treatment or ongoing self-care), common presenting signs and symptoms and required examinations:</w:t>
      </w:r>
    </w:p>
    <w:p w:rsidR="00000000" w:rsidRPr="0010030A" w:rsidP="0010030A">
      <w:pPr>
        <w:pStyle w:val="ListBullet2"/>
      </w:pPr>
      <w:r w:rsidRPr="0010030A">
        <w:t>respiratory tract infections</w:t>
      </w:r>
    </w:p>
    <w:p w:rsidR="00000000" w:rsidRPr="0010030A" w:rsidP="0010030A">
      <w:pPr>
        <w:pStyle w:val="ListBullet2"/>
      </w:pPr>
      <w:r w:rsidRPr="0010030A">
        <w:t>eye, ear and mouth infe</w:t>
      </w:r>
      <w:r w:rsidRPr="0010030A">
        <w:t>ctions</w:t>
      </w:r>
    </w:p>
    <w:p w:rsidR="00000000" w:rsidRPr="0010030A" w:rsidP="0010030A">
      <w:pPr>
        <w:pStyle w:val="ListBullet2"/>
      </w:pPr>
      <w:r w:rsidRPr="0010030A">
        <w:t>bacterial, viral, fungal and parasitic skin infections</w:t>
      </w:r>
    </w:p>
    <w:p w:rsidR="00000000" w:rsidRPr="0010030A" w:rsidP="0010030A">
      <w:pPr>
        <w:pStyle w:val="ListBullet2"/>
      </w:pPr>
      <w:r w:rsidRPr="0010030A">
        <w:t>digestive and gastrointestinal conditions including gastroenteritis</w:t>
      </w:r>
    </w:p>
    <w:p w:rsidR="00000000" w:rsidRPr="0010030A" w:rsidP="0010030A">
      <w:pPr>
        <w:pStyle w:val="ListBullet2"/>
      </w:pPr>
      <w:r w:rsidRPr="0010030A">
        <w:t>urinary tract infections</w:t>
      </w:r>
    </w:p>
    <w:p w:rsidR="00000000" w:rsidRPr="0010030A" w:rsidP="0010030A">
      <w:pPr>
        <w:pStyle w:val="ListBullet"/>
      </w:pPr>
      <w:r w:rsidRPr="0010030A">
        <w:t>for chronic and communicable diseases of high incidence in Aboriginal and/or</w:t>
      </w:r>
      <w:r w:rsidRPr="0010030A">
        <w:t xml:space="preserve"> Torres Strait Islander populations, the major risk factors, signs and symptoms that would trigger referral for investigation:</w:t>
      </w:r>
    </w:p>
    <w:p w:rsidR="00000000" w:rsidRPr="0010030A" w:rsidP="0010030A">
      <w:pPr>
        <w:pStyle w:val="ListBullet2"/>
      </w:pPr>
      <w:r w:rsidRPr="0010030A">
        <w:t>cardiovascular disease</w:t>
      </w:r>
    </w:p>
    <w:p w:rsidR="00000000" w:rsidRPr="0010030A" w:rsidP="0010030A">
      <w:pPr>
        <w:pStyle w:val="ListBullet2"/>
      </w:pPr>
      <w:r w:rsidRPr="0010030A">
        <w:t>chronic respiratory disease, including asthma and obstructive lung disease</w:t>
      </w:r>
    </w:p>
    <w:p w:rsidR="00000000" w:rsidRPr="0010030A" w:rsidP="0010030A">
      <w:pPr>
        <w:pStyle w:val="ListBullet2"/>
      </w:pPr>
      <w:r w:rsidRPr="0010030A">
        <w:t>chronic kidney disease</w:t>
      </w:r>
    </w:p>
    <w:p w:rsidR="00000000" w:rsidRPr="0010030A" w:rsidP="0010030A">
      <w:pPr>
        <w:pStyle w:val="ListBullet2"/>
      </w:pPr>
      <w:r w:rsidRPr="0010030A">
        <w:t>chronic</w:t>
      </w:r>
      <w:r w:rsidRPr="0010030A">
        <w:t xml:space="preserve"> liver disease</w:t>
      </w:r>
    </w:p>
    <w:p w:rsidR="00000000" w:rsidRPr="0010030A" w:rsidP="0010030A">
      <w:pPr>
        <w:pStyle w:val="ListBullet2"/>
      </w:pPr>
      <w:r w:rsidRPr="0010030A">
        <w:t>cancer</w:t>
      </w:r>
    </w:p>
    <w:p w:rsidR="00000000" w:rsidRPr="0010030A" w:rsidP="0010030A">
      <w:pPr>
        <w:pStyle w:val="ListBullet2"/>
      </w:pPr>
      <w:r w:rsidRPr="0010030A">
        <w:t>diabetes</w:t>
      </w:r>
    </w:p>
    <w:p w:rsidR="00000000" w:rsidRPr="0010030A" w:rsidP="0010030A">
      <w:pPr>
        <w:pStyle w:val="ListBullet2"/>
      </w:pPr>
      <w:r w:rsidRPr="0010030A">
        <w:t>musculoskeletal conditions, including arthritis</w:t>
      </w:r>
    </w:p>
    <w:p w:rsidR="00000000" w:rsidRPr="0010030A" w:rsidP="0010030A">
      <w:pPr>
        <w:pStyle w:val="ListBullet2"/>
      </w:pPr>
      <w:r w:rsidRPr="0010030A">
        <w:t>eye, ear and oral disease</w:t>
      </w:r>
    </w:p>
    <w:p w:rsidR="00000000" w:rsidRPr="0010030A" w:rsidP="0010030A">
      <w:pPr>
        <w:pStyle w:val="ListBullet2"/>
      </w:pPr>
      <w:r w:rsidRPr="0010030A">
        <w:t>sexually transmitted infections (STIs)</w:t>
      </w:r>
    </w:p>
    <w:p w:rsidR="00000000" w:rsidRPr="0010030A" w:rsidP="0010030A">
      <w:pPr>
        <w:pStyle w:val="ListBullet2"/>
      </w:pPr>
      <w:r w:rsidRPr="0010030A">
        <w:t>blood borne viruses including HIV, hepatitis A, hepatitis B and hepatitis C</w:t>
      </w:r>
    </w:p>
    <w:p w:rsidR="00000000" w:rsidRPr="0010030A" w:rsidP="0010030A">
      <w:pPr>
        <w:pStyle w:val="ListBullet2"/>
      </w:pPr>
      <w:r w:rsidRPr="0010030A">
        <w:t>communicable diseases of current significance in the local state, territory or local community.</w:t>
      </w:r>
    </w:p>
    <w:p w:rsidR="00000000" w:rsidRPr="0010030A" w:rsidP="0010030A">
      <w:pPr>
        <w:pStyle w:val="AllowPageBreak"/>
      </w:pPr>
    </w:p>
    <w:p w:rsidR="00000000" w:rsidRPr="0010030A" w:rsidP="0010030A">
      <w:pPr>
        <w:pStyle w:val="Heading1"/>
      </w:pPr>
      <w:bookmarkStart w:id="13" w:name="O_1277190"/>
      <w:bookmarkEnd w:id="13"/>
      <w:r w:rsidRPr="0010030A">
        <w:t>Assessment Conditions</w:t>
      </w:r>
    </w:p>
    <w:p w:rsidR="00000000" w:rsidRPr="0010030A" w:rsidP="007C0138">
      <w:pPr>
        <w:pStyle w:val="BodyText"/>
      </w:pPr>
      <w:r w:rsidRPr="0010030A">
        <w:t>Skills must be demonstrated in a health service workplace within a multidisciplinary primary health care team.</w:t>
      </w:r>
    </w:p>
    <w:p w:rsidR="00000000" w:rsidRPr="0010030A" w:rsidP="007C0138">
      <w:pPr>
        <w:pStyle w:val="BodyText"/>
      </w:pPr>
      <w:r w:rsidRPr="0010030A">
        <w:t>Evidence</w:t>
      </w:r>
      <w:r w:rsidRPr="0010030A">
        <w:t xml:space="preserve"> of performance must be gathered:</w:t>
      </w:r>
    </w:p>
    <w:p w:rsidR="00000000" w:rsidRPr="0010030A" w:rsidP="0010030A">
      <w:pPr>
        <w:pStyle w:val="ListBullet"/>
      </w:pPr>
      <w:r w:rsidRPr="0010030A">
        <w:t>during on-the-job assessments in the workplace under live conditions while interacting with Aboriginal and/or Torres Strait Islander people, or</w:t>
      </w:r>
    </w:p>
    <w:p w:rsidR="00000000" w:rsidRPr="0010030A" w:rsidP="0010030A">
      <w:pPr>
        <w:pStyle w:val="ListBullet"/>
      </w:pPr>
      <w:r w:rsidRPr="0010030A">
        <w:t>during off-the-job assessments in the workplace, not under live conditions, u</w:t>
      </w:r>
      <w:r w:rsidRPr="0010030A">
        <w:t>sing simulated activities while interacting with Aboriginal and/or Torres Strait Islander people.</w:t>
      </w:r>
    </w:p>
    <w:p w:rsidR="00000000" w:rsidRPr="0010030A" w:rsidP="007C0138">
      <w:pPr>
        <w:pStyle w:val="BodyText"/>
      </w:pPr>
      <w:r w:rsidRPr="0010030A">
        <w:t>Evidence of workplace performance can be gathered and reported through third party report processes. (Refer to the Companion Volume Implementation Guide for i</w:t>
      </w:r>
      <w:r w:rsidRPr="0010030A">
        <w:t>nformation on third party reporting.)</w:t>
      </w:r>
    </w:p>
    <w:p w:rsidR="00000000" w:rsidRPr="0010030A" w:rsidP="007C0138">
      <w:pPr>
        <w:pStyle w:val="BodyText"/>
      </w:pPr>
      <w:r w:rsidRPr="0010030A">
        <w:t>Evidence can be supplemented by assessments in a simulated workplace environment using simulated activities, scenarios or case studies only when:</w:t>
      </w:r>
    </w:p>
    <w:p w:rsidR="00000000" w:rsidRPr="0010030A" w:rsidP="0010030A">
      <w:pPr>
        <w:pStyle w:val="ListBullet"/>
      </w:pPr>
      <w:r w:rsidRPr="0010030A">
        <w:t xml:space="preserve">the full range of situations covered by the unit cannot be provided in </w:t>
      </w:r>
      <w:r w:rsidRPr="0010030A">
        <w:t>the individual’s workplace, or</w:t>
      </w:r>
    </w:p>
    <w:p w:rsidR="00000000" w:rsidRPr="0010030A" w:rsidP="0010030A">
      <w:pPr>
        <w:pStyle w:val="ListBullet"/>
      </w:pPr>
      <w:r w:rsidRPr="0010030A">
        <w:t>situations covered by the unit occur only rarely in the individual’s workplace.</w:t>
      </w:r>
    </w:p>
    <w:p w:rsidR="00000000" w:rsidRPr="0010030A" w:rsidP="007C0138">
      <w:pPr>
        <w:pStyle w:val="BodyText"/>
      </w:pPr>
      <w:r w:rsidRPr="0010030A">
        <w:t>Assessment must ensure the use of:</w:t>
      </w:r>
    </w:p>
    <w:p w:rsidR="00000000" w:rsidRPr="0010030A" w:rsidP="0010030A">
      <w:pPr>
        <w:pStyle w:val="ListBullet"/>
      </w:pPr>
      <w:r w:rsidRPr="0010030A">
        <w:t>personal protective equipment for infection control</w:t>
      </w:r>
    </w:p>
    <w:p w:rsidR="00000000" w:rsidRPr="0010030A" w:rsidP="0010030A">
      <w:pPr>
        <w:pStyle w:val="ListBullet"/>
      </w:pPr>
      <w:r w:rsidRPr="0010030A">
        <w:t>medical equipment and consumables used for health assessments</w:t>
      </w:r>
    </w:p>
    <w:p w:rsidR="00000000" w:rsidRPr="0010030A" w:rsidP="0010030A">
      <w:pPr>
        <w:pStyle w:val="ListBullet"/>
      </w:pPr>
      <w:r w:rsidRPr="0010030A">
        <w:t>clinical waste and sharps disposal bins</w:t>
      </w:r>
    </w:p>
    <w:p w:rsidR="00000000" w:rsidRPr="0010030A" w:rsidP="0010030A">
      <w:pPr>
        <w:pStyle w:val="ListBullet"/>
      </w:pPr>
      <w:r w:rsidRPr="0010030A">
        <w:t>client records</w:t>
      </w:r>
    </w:p>
    <w:p w:rsidR="00000000" w:rsidRPr="0010030A" w:rsidP="0010030A">
      <w:pPr>
        <w:pStyle w:val="ListBullet"/>
      </w:pPr>
      <w:r w:rsidRPr="0010030A">
        <w:t>template forms or reports for documenting client histories, assessment details and results</w:t>
      </w:r>
    </w:p>
    <w:p w:rsidR="00000000" w:rsidRPr="0010030A" w:rsidP="0010030A">
      <w:pPr>
        <w:pStyle w:val="ListBullet"/>
      </w:pPr>
      <w:r w:rsidRPr="0010030A">
        <w:t>health assessment standard treatment protocols u</w:t>
      </w:r>
      <w:r w:rsidRPr="0010030A">
        <w:t>sed by the organisation, which can include Standard Treatment Manuals</w:t>
      </w:r>
    </w:p>
    <w:p w:rsidR="00000000" w:rsidRPr="0010030A" w:rsidP="0010030A">
      <w:pPr>
        <w:pStyle w:val="ListBullet"/>
      </w:pPr>
      <w:r w:rsidRPr="0010030A">
        <w:t>organisational procedures for:</w:t>
      </w:r>
    </w:p>
    <w:p w:rsidR="00000000" w:rsidRPr="0010030A" w:rsidP="0010030A">
      <w:pPr>
        <w:pStyle w:val="ListBullet2"/>
      </w:pPr>
      <w:r w:rsidRPr="0010030A">
        <w:t>maintaining client confidentiality</w:t>
      </w:r>
    </w:p>
    <w:p w:rsidR="00000000" w:rsidRPr="0010030A" w:rsidP="0010030A">
      <w:pPr>
        <w:pStyle w:val="ListBullet2"/>
      </w:pPr>
      <w:r w:rsidRPr="0010030A">
        <w:t>documenting health assessments</w:t>
      </w:r>
    </w:p>
    <w:p w:rsidR="00000000" w:rsidRPr="0010030A" w:rsidP="0010030A">
      <w:pPr>
        <w:pStyle w:val="ListBullet2"/>
      </w:pPr>
      <w:r w:rsidRPr="0010030A">
        <w:t>reporting notifiable communicable diseases.</w:t>
      </w:r>
    </w:p>
    <w:p w:rsidR="00000000" w:rsidRPr="0010030A" w:rsidP="007C0138">
      <w:pPr>
        <w:pStyle w:val="BodyText"/>
      </w:pPr>
      <w:r w:rsidRPr="0010030A">
        <w:t>Assessors must satisfy the Standards for Reg</w:t>
      </w:r>
      <w:r w:rsidRPr="0010030A">
        <w:t>istered Training Organisations requirements for assessors, and:</w:t>
      </w:r>
    </w:p>
    <w:p w:rsidR="00000000" w:rsidRPr="0010030A" w:rsidP="0010030A">
      <w:pPr>
        <w:pStyle w:val="ListBullet"/>
      </w:pPr>
      <w:r w:rsidRPr="0010030A">
        <w:t>be an Aboriginal and/or Torres Strait Islander person who has applied the skills and knowledge covered in this unit of competency through experience working as an Aboriginal and/or Torres Str</w:t>
      </w:r>
      <w:r w:rsidRPr="0010030A">
        <w:t>ait Islander health worker or practitioner, or</w:t>
      </w:r>
    </w:p>
    <w:p w:rsidR="00000000" w:rsidRPr="0010030A" w:rsidP="0010030A">
      <w:pPr>
        <w:pStyle w:val="ListBullet"/>
      </w:pPr>
      <w:r w:rsidRPr="0010030A">
        <w:t>be a registered health practitioner with experience relevant to this unit of competency and be accompanied by, or have assessments validated by, an Aboriginal and/or Torres Strait Islander person.</w:t>
      </w:r>
    </w:p>
    <w:p w:rsidR="00000000" w:rsidRPr="0010030A" w:rsidP="0010030A">
      <w:pPr>
        <w:pStyle w:val="AllowPageBreak"/>
      </w:pPr>
    </w:p>
    <w:p w:rsidR="00000000" w:rsidRPr="0010030A" w:rsidP="0010030A">
      <w:pPr>
        <w:pStyle w:val="Heading1"/>
      </w:pPr>
      <w:bookmarkStart w:id="14" w:name="O_1277193"/>
      <w:bookmarkEnd w:id="14"/>
      <w:r w:rsidRPr="0010030A">
        <w:t>Links</w:t>
      </w:r>
    </w:p>
    <w:p w:rsidR="00000000" w:rsidRPr="0010030A" w:rsidP="007C0138">
      <w:pPr>
        <w:pStyle w:val="BodyText"/>
      </w:pPr>
      <w:r w:rsidRPr="0010030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A5A8E">
        <w:rPr>
          <w:rStyle w:val="Hyperlink"/>
        </w:rPr>
        <w:t>https://vetnet.gov.au/Pages/TrainingDocs.aspx?q=ced1390f-48d9-4ab0-bd50-b015e5485705</w:t>
      </w:r>
      <w:r>
        <w:fldChar w:fldCharType="end"/>
      </w:r>
    </w:p>
    <w:p w:rsidR="00000000" w:rsidRPr="0010030A" w:rsidP="0010030A"/>
    <w:sectPr w:rsidSect="001003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0A" w:rsidRPr="007C0138" w:rsidP="007C01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38" w:rsidP="001003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C0138" w:rsidP="001003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C0138" w:rsidP="001003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0A" w:rsidP="0010030A">
    <w:pPr>
      <w:pStyle w:val="Footer"/>
      <w:framePr w:wrap="around"/>
    </w:pPr>
    <w:r>
      <w:fldChar w:fldCharType="begin"/>
    </w:r>
    <w:r>
      <w:instrText xml:space="preserve"> DOCPROPERTY  Subject  \* MERGEFORMAT </w:instrText>
    </w:r>
    <w:r>
      <w:fldChar w:fldCharType="separate"/>
    </w:r>
    <w:r w:rsidR="007C0138">
      <w:t>Approved</w:t>
    </w:r>
    <w:r w:rsidR="007C0138">
      <w:fldChar w:fldCharType="end"/>
    </w:r>
    <w:r>
      <w:tab/>
      <w:t xml:space="preserve">Page </w:t>
    </w:r>
    <w:r>
      <w:fldChar w:fldCharType="begin"/>
    </w:r>
    <w:r>
      <w:instrText xml:space="preserve"> PAGE  \* Arabic  \* MERGEFORMAT </w:instrText>
    </w:r>
    <w:r>
      <w:fldChar w:fldCharType="separate"/>
    </w:r>
    <w:r w:rsidR="007C013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0138">
      <w:rPr>
        <w:noProof/>
      </w:rPr>
      <w:t>7</w:t>
    </w:r>
    <w:r>
      <w:rPr>
        <w:noProof/>
      </w:rPr>
      <w:fldChar w:fldCharType="end"/>
    </w:r>
  </w:p>
  <w:p w:rsidR="0010030A" w:rsidP="0010030A">
    <w:pPr>
      <w:pStyle w:val="Footer"/>
      <w:framePr w:wrap="around"/>
    </w:pPr>
    <w:r>
      <w:t xml:space="preserve">© Commonwealth of Australia, </w:t>
    </w:r>
    <w:r>
      <w:fldChar w:fldCharType="begin"/>
    </w:r>
    <w:r>
      <w:instrText xml:space="preserve"> DATE  \@ "yyyy"  \* MERGEFORMAT </w:instrText>
    </w:r>
    <w:r>
      <w:fldChar w:fldCharType="separate"/>
    </w:r>
    <w:r w:rsidR="007C0138">
      <w:rPr>
        <w:noProof/>
      </w:rPr>
      <w:t>2025</w:t>
    </w:r>
    <w:r>
      <w:fldChar w:fldCharType="end"/>
    </w:r>
    <w:r>
      <w:tab/>
    </w:r>
    <w:r>
      <w:fldChar w:fldCharType="begin"/>
    </w:r>
    <w:r>
      <w:instrText xml:space="preserve"> DOCPROPERTY  Author  \* MERGEFORMAT </w:instrText>
    </w:r>
    <w:r>
      <w:fldChar w:fldCharType="separate"/>
    </w:r>
    <w:r w:rsidR="007C0138">
      <w:t>HumanAbility</w:t>
    </w:r>
    <w:r w:rsidR="007C0138">
      <w:fldChar w:fldCharType="end"/>
    </w:r>
  </w:p>
  <w:p w:rsidR="0010030A" w:rsidP="001003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030A" w:rsidRPr="007C0138" w:rsidP="007C01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38" w:rsidRPr="002D2AF8" w:rsidP="0010030A">
    <w:pPr>
      <w:pStyle w:val="Header"/>
      <w:framePr w:wrap="around"/>
    </w:pPr>
    <w:r>
      <w:fldChar w:fldCharType="begin"/>
    </w:r>
    <w:r>
      <w:instrText xml:space="preserve"> TITLE   \* MERGEFORMAT </w:instrText>
    </w:r>
    <w:r>
      <w:fldChar w:fldCharType="separate"/>
    </w:r>
    <w:r>
      <w:t>HLTAHCS003 Complete routine physical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0138" w:rsidP="001003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0A" w:rsidRPr="002D2AF8" w:rsidP="0010030A">
    <w:pPr>
      <w:pStyle w:val="Header"/>
      <w:framePr w:wrap="around"/>
    </w:pPr>
    <w:r>
      <w:fldChar w:fldCharType="begin"/>
    </w:r>
    <w:r>
      <w:instrText xml:space="preserve"> TITLE   \* MERGEFORMAT </w:instrText>
    </w:r>
    <w:r>
      <w:fldChar w:fldCharType="separate"/>
    </w:r>
    <w:r w:rsidR="007C0138">
      <w:t>HLTAHCS003 Complete routine physical health assessments</w:t>
    </w:r>
    <w:r w:rsidR="007C0138">
      <w:fldChar w:fldCharType="end"/>
    </w:r>
    <w:r>
      <w:tab/>
      <w:t xml:space="preserve">Date this document was generated: </w:t>
    </w:r>
    <w:r>
      <w:fldChar w:fldCharType="begin"/>
    </w:r>
    <w:r>
      <w:instrText xml:space="preserve"> CREATEDATE  \@ "d MMMM yyyy"  \* MERGEFORMAT </w:instrText>
    </w:r>
    <w:r>
      <w:fldChar w:fldCharType="separate"/>
    </w:r>
    <w:r w:rsidR="007C0138">
      <w:rPr>
        <w:noProof/>
      </w:rPr>
      <w:t>2 March 2025</w:t>
    </w:r>
    <w:r>
      <w:fldChar w:fldCharType="end"/>
    </w:r>
  </w:p>
  <w:p w:rsidR="0010030A" w:rsidP="001003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4CAB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BA9E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74E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3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30A"/>
    <w:pPr>
      <w:spacing w:before="360" w:after="60"/>
      <w:outlineLvl w:val="0"/>
    </w:pPr>
    <w:rPr>
      <w:sz w:val="32"/>
    </w:rPr>
  </w:style>
  <w:style w:type="paragraph" w:styleId="Heading2">
    <w:name w:val="heading 2"/>
    <w:basedOn w:val="HeadingBase"/>
    <w:next w:val="BodyText"/>
    <w:link w:val="Heading2Char"/>
    <w:qFormat/>
    <w:rsid w:val="0010030A"/>
    <w:pPr>
      <w:keepLines/>
      <w:spacing w:before="240" w:after="120"/>
      <w:outlineLvl w:val="1"/>
    </w:pPr>
    <w:rPr>
      <w:sz w:val="28"/>
      <w:szCs w:val="40"/>
    </w:rPr>
  </w:style>
  <w:style w:type="paragraph" w:styleId="Heading3">
    <w:name w:val="heading 3"/>
    <w:basedOn w:val="HeadingBase"/>
    <w:next w:val="BodyText"/>
    <w:link w:val="Heading3Char"/>
    <w:qFormat/>
    <w:rsid w:val="0010030A"/>
    <w:pPr>
      <w:spacing w:before="180" w:after="120"/>
      <w:outlineLvl w:val="2"/>
    </w:pPr>
    <w:rPr>
      <w:spacing w:val="-10"/>
      <w:kern w:val="32"/>
    </w:rPr>
  </w:style>
  <w:style w:type="paragraph" w:styleId="Heading4">
    <w:name w:val="heading 4"/>
    <w:basedOn w:val="HeadingBase"/>
    <w:next w:val="BodyText"/>
    <w:link w:val="Heading4Char"/>
    <w:qFormat/>
    <w:rsid w:val="0010030A"/>
    <w:pPr>
      <w:spacing w:before="160" w:after="120"/>
      <w:outlineLvl w:val="3"/>
    </w:pPr>
    <w:rPr>
      <w:sz w:val="22"/>
    </w:rPr>
  </w:style>
  <w:style w:type="paragraph" w:styleId="Heading5">
    <w:name w:val="heading 5"/>
    <w:basedOn w:val="HeadingBase"/>
    <w:next w:val="Normal"/>
    <w:link w:val="Heading5Char"/>
    <w:qFormat/>
    <w:rsid w:val="0010030A"/>
    <w:pPr>
      <w:spacing w:before="80"/>
      <w:outlineLvl w:val="4"/>
    </w:pPr>
    <w:rPr>
      <w:color w:val="918585"/>
      <w:sz w:val="20"/>
    </w:rPr>
  </w:style>
  <w:style w:type="paragraph" w:styleId="Heading6">
    <w:name w:val="heading 6"/>
    <w:basedOn w:val="HeadingBase"/>
    <w:next w:val="Normal"/>
    <w:link w:val="Heading6Char"/>
    <w:qFormat/>
    <w:rsid w:val="0010030A"/>
    <w:pPr>
      <w:spacing w:before="60"/>
      <w:outlineLvl w:val="5"/>
    </w:pPr>
    <w:rPr>
      <w:color w:val="918585"/>
      <w:sz w:val="20"/>
    </w:rPr>
  </w:style>
  <w:style w:type="paragraph" w:styleId="Heading7">
    <w:name w:val="heading 7"/>
    <w:basedOn w:val="Normal"/>
    <w:next w:val="Normal"/>
    <w:link w:val="Heading7Char"/>
    <w:qFormat/>
    <w:rsid w:val="0010030A"/>
    <w:pPr>
      <w:ind w:left="720"/>
      <w:outlineLvl w:val="6"/>
    </w:pPr>
    <w:rPr>
      <w:i/>
    </w:rPr>
  </w:style>
  <w:style w:type="paragraph" w:styleId="Heading8">
    <w:name w:val="heading 8"/>
    <w:basedOn w:val="Normal"/>
    <w:next w:val="Normal"/>
    <w:link w:val="Heading8Char"/>
    <w:qFormat/>
    <w:rsid w:val="0010030A"/>
    <w:pPr>
      <w:ind w:left="720"/>
      <w:outlineLvl w:val="7"/>
    </w:pPr>
    <w:rPr>
      <w:i/>
    </w:rPr>
  </w:style>
  <w:style w:type="paragraph" w:styleId="Heading9">
    <w:name w:val="heading 9"/>
    <w:basedOn w:val="Normal"/>
    <w:next w:val="Normal"/>
    <w:link w:val="Heading9Char"/>
    <w:qFormat/>
    <w:rsid w:val="0010030A"/>
    <w:pPr>
      <w:ind w:left="720"/>
      <w:outlineLvl w:val="8"/>
    </w:pPr>
    <w:rPr>
      <w:i/>
    </w:rPr>
  </w:style>
  <w:style w:type="character" w:default="1" w:styleId="DefaultParagraphFont">
    <w:name w:val="Default Paragraph Font"/>
    <w:uiPriority w:val="1"/>
    <w:unhideWhenUsed/>
    <w:rsid w:val="00100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30A"/>
  </w:style>
  <w:style w:type="character" w:customStyle="1" w:styleId="Heading1Char">
    <w:name w:val="Heading 1 Char"/>
    <w:basedOn w:val="DefaultParagraphFont"/>
    <w:link w:val="Heading1"/>
    <w:rsid w:val="0010030A"/>
    <w:rPr>
      <w:rFonts w:ascii="Times New Roman" w:eastAsia="Times New Roman" w:hAnsi="Times New Roman" w:cs="Times New Roman"/>
      <w:b/>
      <w:sz w:val="32"/>
      <w:szCs w:val="20"/>
      <w:lang w:eastAsia="en-US"/>
    </w:rPr>
  </w:style>
  <w:style w:type="paragraph" w:styleId="BodyText">
    <w:name w:val="Body Text"/>
    <w:basedOn w:val="Normal"/>
    <w:link w:val="BodyTextChar"/>
    <w:rsid w:val="001003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030A"/>
    <w:rPr>
      <w:rFonts w:ascii="Times New Roman" w:eastAsia="Times New Roman" w:hAnsi="Times New Roman" w:cs="Times New Roman"/>
      <w:sz w:val="24"/>
      <w:lang w:eastAsia="en-US"/>
    </w:rPr>
  </w:style>
  <w:style w:type="paragraph" w:styleId="List">
    <w:name w:val="List"/>
    <w:basedOn w:val="BodyText"/>
    <w:next w:val="BodyText"/>
    <w:rsid w:val="0010030A"/>
    <w:pPr>
      <w:tabs>
        <w:tab w:val="left" w:pos="340"/>
      </w:tabs>
      <w:spacing w:before="60" w:after="60"/>
      <w:ind w:left="340" w:hanging="340"/>
    </w:pPr>
  </w:style>
  <w:style w:type="paragraph" w:styleId="ListBullet">
    <w:name w:val="List Bullet"/>
    <w:basedOn w:val="List"/>
    <w:rsid w:val="0010030A"/>
    <w:pPr>
      <w:numPr>
        <w:numId w:val="13"/>
      </w:numPr>
      <w:tabs>
        <w:tab w:val="clear" w:pos="340"/>
      </w:tabs>
      <w:spacing w:before="40" w:after="40"/>
    </w:pPr>
  </w:style>
  <w:style w:type="character" w:customStyle="1" w:styleId="SpecialBold">
    <w:name w:val="Special Bold"/>
    <w:basedOn w:val="DefaultParagraphFont"/>
    <w:rsid w:val="0010030A"/>
    <w:rPr>
      <w:b/>
      <w:spacing w:val="0"/>
    </w:rPr>
  </w:style>
  <w:style w:type="paragraph" w:styleId="ListBullet2">
    <w:name w:val="List Bullet 2"/>
    <w:basedOn w:val="List2"/>
    <w:rsid w:val="0010030A"/>
    <w:pPr>
      <w:numPr>
        <w:numId w:val="14"/>
      </w:numPr>
      <w:tabs>
        <w:tab w:val="clear" w:pos="680"/>
      </w:tabs>
    </w:pPr>
  </w:style>
  <w:style w:type="character" w:styleId="Emphasis">
    <w:name w:val="Emphasis"/>
    <w:basedOn w:val="DefaultParagraphFont"/>
    <w:qFormat/>
    <w:rsid w:val="0010030A"/>
    <w:rPr>
      <w:i/>
    </w:rPr>
  </w:style>
  <w:style w:type="paragraph" w:customStyle="1" w:styleId="SuperHeading">
    <w:name w:val="SuperHeading"/>
    <w:basedOn w:val="Normal"/>
    <w:rsid w:val="0010030A"/>
    <w:pPr>
      <w:spacing w:before="240" w:after="120"/>
      <w:outlineLvl w:val="0"/>
    </w:pPr>
    <w:rPr>
      <w:rFonts w:ascii="Times New Roman" w:hAnsi="Times New Roman"/>
      <w:b/>
      <w:sz w:val="32"/>
    </w:rPr>
  </w:style>
  <w:style w:type="paragraph" w:customStyle="1" w:styleId="AllowPageBreak">
    <w:name w:val="AllowPageBreak"/>
    <w:rsid w:val="001003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030A"/>
    <w:pPr>
      <w:numPr>
        <w:numId w:val="3"/>
      </w:numPr>
      <w:tabs>
        <w:tab w:val="clear" w:pos="1021"/>
      </w:tabs>
      <w:ind w:left="1037" w:hanging="357"/>
    </w:pPr>
  </w:style>
  <w:style w:type="character" w:customStyle="1" w:styleId="Heading2Char">
    <w:name w:val="Heading 2 Char"/>
    <w:basedOn w:val="DefaultParagraphFont"/>
    <w:link w:val="Heading2"/>
    <w:rsid w:val="00100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3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3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30A"/>
    <w:rPr>
      <w:rFonts w:ascii="Courier New" w:eastAsia="Times New Roman" w:hAnsi="Courier New" w:cs="Times New Roman"/>
      <w:i/>
      <w:szCs w:val="20"/>
      <w:lang w:eastAsia="en-US"/>
    </w:rPr>
  </w:style>
  <w:style w:type="paragraph" w:customStyle="1" w:styleId="HeadingBase">
    <w:name w:val="Heading Base"/>
    <w:rsid w:val="00100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30A"/>
    <w:pPr>
      <w:tabs>
        <w:tab w:val="right" w:leader="dot" w:pos="9072"/>
      </w:tabs>
      <w:ind w:left="567"/>
    </w:pPr>
    <w:rPr>
      <w:szCs w:val="22"/>
    </w:rPr>
  </w:style>
  <w:style w:type="paragraph" w:customStyle="1" w:styleId="TOCBase">
    <w:name w:val="TOC Base"/>
    <w:rsid w:val="00100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30A"/>
    <w:pPr>
      <w:tabs>
        <w:tab w:val="right" w:leader="dot" w:pos="9072"/>
      </w:tabs>
      <w:spacing w:before="40" w:after="40"/>
      <w:ind w:left="284"/>
    </w:pPr>
    <w:rPr>
      <w:rFonts w:ascii="Times New Roman" w:hAnsi="Times New Roman"/>
    </w:rPr>
  </w:style>
  <w:style w:type="paragraph" w:styleId="TOC1">
    <w:name w:val="toc 1"/>
    <w:basedOn w:val="TOCBase"/>
    <w:next w:val="Normal"/>
    <w:rsid w:val="001003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30A"/>
    <w:rPr>
      <w:rFonts w:ascii="Times New Roman" w:eastAsia="Times New Roman" w:hAnsi="Times New Roman" w:cs="Times New Roman"/>
      <w:sz w:val="16"/>
      <w:lang w:eastAsia="en-US"/>
    </w:rPr>
  </w:style>
  <w:style w:type="paragraph" w:styleId="Title">
    <w:name w:val="Title"/>
    <w:basedOn w:val="HeadingBase"/>
    <w:link w:val="TitleChar"/>
    <w:qFormat/>
    <w:rsid w:val="0010030A"/>
    <w:pPr>
      <w:spacing w:before="5040"/>
      <w:jc w:val="center"/>
    </w:pPr>
    <w:rPr>
      <w:sz w:val="48"/>
      <w:szCs w:val="72"/>
      <w:lang w:val="en-US"/>
    </w:rPr>
  </w:style>
  <w:style w:type="character" w:customStyle="1" w:styleId="TitleChar">
    <w:name w:val="Title Char"/>
    <w:basedOn w:val="DefaultParagraphFont"/>
    <w:link w:val="Title"/>
    <w:rsid w:val="00100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30A"/>
    <w:pPr>
      <w:tabs>
        <w:tab w:val="left" w:pos="3600"/>
        <w:tab w:val="left" w:pos="3958"/>
      </w:tabs>
    </w:pPr>
  </w:style>
  <w:style w:type="paragraph" w:customStyle="1" w:styleId="Note">
    <w:name w:val="Note"/>
    <w:basedOn w:val="BodyText"/>
    <w:rsid w:val="001003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30A"/>
    <w:pPr>
      <w:framePr w:wrap="auto" w:hAnchor="text" w:y="6049"/>
    </w:pPr>
    <w:rPr>
      <w:color w:val="000000"/>
      <w:sz w:val="40"/>
    </w:rPr>
  </w:style>
  <w:style w:type="paragraph" w:customStyle="1" w:styleId="TOCTitle">
    <w:name w:val="TOCTitle"/>
    <w:basedOn w:val="Heading1"/>
    <w:rsid w:val="0010030A"/>
    <w:pPr>
      <w:spacing w:after="240"/>
      <w:jc w:val="center"/>
      <w:outlineLvl w:val="9"/>
    </w:pPr>
    <w:rPr>
      <w:caps/>
    </w:rPr>
  </w:style>
  <w:style w:type="paragraph" w:customStyle="1" w:styleId="Version">
    <w:name w:val="Version"/>
    <w:rsid w:val="001003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030A"/>
    <w:pPr>
      <w:keepNext w:val="0"/>
      <w:tabs>
        <w:tab w:val="right" w:pos="4176"/>
      </w:tabs>
      <w:ind w:left="198" w:hanging="198"/>
    </w:pPr>
    <w:rPr>
      <w:rFonts w:ascii="Garamond" w:hAnsi="Garamond"/>
    </w:rPr>
  </w:style>
  <w:style w:type="paragraph" w:styleId="IndexHeading">
    <w:name w:val="index heading"/>
    <w:basedOn w:val="Normal"/>
    <w:next w:val="Index1"/>
    <w:semiHidden/>
    <w:rsid w:val="0010030A"/>
    <w:pPr>
      <w:spacing w:before="120" w:after="120"/>
    </w:pPr>
    <w:rPr>
      <w:rFonts w:ascii="Arial" w:hAnsi="Arial"/>
      <w:b/>
      <w:color w:val="918585"/>
      <w:sz w:val="24"/>
    </w:rPr>
  </w:style>
  <w:style w:type="paragraph" w:styleId="Header">
    <w:name w:val="header"/>
    <w:basedOn w:val="Normal"/>
    <w:link w:val="HeaderChar"/>
    <w:rsid w:val="00100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30A"/>
    <w:rPr>
      <w:rFonts w:ascii="Times New Roman" w:eastAsia="Times New Roman" w:hAnsi="Times New Roman" w:cs="Times New Roman"/>
      <w:sz w:val="16"/>
      <w:szCs w:val="20"/>
      <w:lang w:val="en-GB" w:eastAsia="en-US"/>
    </w:rPr>
  </w:style>
  <w:style w:type="paragraph" w:customStyle="1" w:styleId="Chapter">
    <w:name w:val="Chapter"/>
    <w:basedOn w:val="Normal"/>
    <w:rsid w:val="0010030A"/>
    <w:pPr>
      <w:spacing w:before="240"/>
    </w:pPr>
    <w:rPr>
      <w:rFonts w:ascii="Times New Roman" w:hAnsi="Times New Roman"/>
      <w:smallCaps/>
      <w:spacing w:val="80"/>
      <w:sz w:val="28"/>
    </w:rPr>
  </w:style>
  <w:style w:type="paragraph" w:customStyle="1" w:styleId="InChapter">
    <w:name w:val="InChapter"/>
    <w:basedOn w:val="Heading3"/>
    <w:rsid w:val="0010030A"/>
    <w:pPr>
      <w:spacing w:after="240"/>
      <w:outlineLvl w:val="9"/>
    </w:pPr>
    <w:rPr>
      <w:noProof/>
    </w:rPr>
  </w:style>
  <w:style w:type="paragraph" w:styleId="Index2">
    <w:name w:val="index 2"/>
    <w:basedOn w:val="Normal"/>
    <w:next w:val="Normal"/>
    <w:semiHidden/>
    <w:rsid w:val="0010030A"/>
    <w:pPr>
      <w:tabs>
        <w:tab w:val="right" w:pos="4176"/>
      </w:tabs>
      <w:ind w:left="568" w:hanging="284"/>
    </w:pPr>
    <w:rPr>
      <w:rFonts w:ascii="Garamond" w:hAnsi="Garamond"/>
    </w:rPr>
  </w:style>
  <w:style w:type="paragraph" w:customStyle="1" w:styleId="Byline">
    <w:name w:val="Byline"/>
    <w:rsid w:val="00100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30A"/>
    <w:pPr>
      <w:tabs>
        <w:tab w:val="clear" w:pos="3600"/>
        <w:tab w:val="clear" w:pos="3958"/>
      </w:tabs>
      <w:jc w:val="right"/>
    </w:pPr>
  </w:style>
  <w:style w:type="paragraph" w:styleId="Caption">
    <w:name w:val="caption"/>
    <w:basedOn w:val="BodyText"/>
    <w:next w:val="Normal"/>
    <w:qFormat/>
    <w:rsid w:val="0010030A"/>
    <w:pPr>
      <w:framePr w:w="2268" w:hSpace="181" w:vSpace="181" w:wrap="around" w:vAnchor="text" w:hAnchor="page" w:x="1135" w:y="285" w:anchorLock="1"/>
    </w:pPr>
    <w:rPr>
      <w:i/>
    </w:rPr>
  </w:style>
  <w:style w:type="paragraph" w:customStyle="1" w:styleId="MiniTOCTitle">
    <w:name w:val="MiniTOCTitle"/>
    <w:basedOn w:val="Heading4"/>
    <w:rsid w:val="0010030A"/>
    <w:pPr>
      <w:spacing w:before="240"/>
      <w:outlineLvl w:val="9"/>
    </w:pPr>
    <w:rPr>
      <w:noProof/>
      <w:sz w:val="24"/>
    </w:rPr>
  </w:style>
  <w:style w:type="paragraph" w:customStyle="1" w:styleId="MiniTOCItem">
    <w:name w:val="MiniTOCItem"/>
    <w:basedOn w:val="ListBullet"/>
    <w:rsid w:val="0010030A"/>
    <w:pPr>
      <w:numPr>
        <w:numId w:val="0"/>
      </w:numPr>
      <w:tabs>
        <w:tab w:val="right" w:leader="dot" w:pos="6521"/>
      </w:tabs>
      <w:spacing w:before="0" w:after="0"/>
    </w:pPr>
  </w:style>
  <w:style w:type="paragraph" w:customStyle="1" w:styleId="TOFTitle">
    <w:name w:val="TOFTitle"/>
    <w:basedOn w:val="TOCTitle"/>
    <w:rsid w:val="0010030A"/>
  </w:style>
  <w:style w:type="paragraph" w:styleId="TableofFigures">
    <w:name w:val="table of figures"/>
    <w:basedOn w:val="Normal"/>
    <w:next w:val="Normal"/>
    <w:semiHidden/>
    <w:rsid w:val="0010030A"/>
    <w:pPr>
      <w:tabs>
        <w:tab w:val="right" w:leader="dot" w:pos="9072"/>
      </w:tabs>
      <w:ind w:left="970" w:hanging="403"/>
    </w:pPr>
    <w:rPr>
      <w:rFonts w:ascii="Times New Roman" w:hAnsi="Times New Roman"/>
      <w:b/>
    </w:rPr>
  </w:style>
  <w:style w:type="paragraph" w:styleId="ListNumber">
    <w:name w:val="List Number"/>
    <w:basedOn w:val="List"/>
    <w:rsid w:val="0010030A"/>
    <w:pPr>
      <w:numPr>
        <w:numId w:val="16"/>
      </w:numPr>
      <w:tabs>
        <w:tab w:val="clear" w:pos="340"/>
      </w:tabs>
    </w:pPr>
  </w:style>
  <w:style w:type="character" w:customStyle="1" w:styleId="WingdingSymbols">
    <w:name w:val="Wingding Symbols"/>
    <w:rsid w:val="0010030A"/>
    <w:rPr>
      <w:rFonts w:ascii="Wingdings" w:hAnsi="Wingdings"/>
    </w:rPr>
  </w:style>
  <w:style w:type="paragraph" w:customStyle="1" w:styleId="TableHeading">
    <w:name w:val="Table Heading"/>
    <w:basedOn w:val="HeadingBase"/>
    <w:rsid w:val="0010030A"/>
    <w:pPr>
      <w:keepLines/>
      <w:pBdr>
        <w:bottom w:val="single" w:sz="6" w:space="1" w:color="918585"/>
      </w:pBdr>
      <w:spacing w:before="240"/>
    </w:pPr>
  </w:style>
  <w:style w:type="character" w:customStyle="1" w:styleId="HotSpot">
    <w:name w:val="HotSpot"/>
    <w:rsid w:val="0010030A"/>
    <w:rPr>
      <w:color w:val="0033CC"/>
      <w:u w:val="none"/>
    </w:rPr>
  </w:style>
  <w:style w:type="paragraph" w:customStyle="1" w:styleId="BodyTextRight">
    <w:name w:val="Body Text Right"/>
    <w:basedOn w:val="BodyText"/>
    <w:rsid w:val="0010030A"/>
    <w:pPr>
      <w:spacing w:before="0" w:after="0"/>
      <w:jc w:val="right"/>
    </w:pPr>
  </w:style>
  <w:style w:type="paragraph" w:styleId="Index3">
    <w:name w:val="index 3"/>
    <w:basedOn w:val="ListNumber2"/>
    <w:next w:val="Normal"/>
    <w:semiHidden/>
    <w:rsid w:val="0010030A"/>
    <w:pPr>
      <w:numPr>
        <w:numId w:val="0"/>
      </w:numPr>
      <w:tabs>
        <w:tab w:val="right" w:leader="dot" w:pos="4176"/>
      </w:tabs>
    </w:pPr>
  </w:style>
  <w:style w:type="paragraph" w:styleId="ListNumber2">
    <w:name w:val="List Number 2"/>
    <w:basedOn w:val="List2"/>
    <w:rsid w:val="0010030A"/>
    <w:pPr>
      <w:numPr>
        <w:numId w:val="11"/>
      </w:numPr>
      <w:tabs>
        <w:tab w:val="clear" w:pos="1060"/>
      </w:tabs>
    </w:pPr>
  </w:style>
  <w:style w:type="paragraph" w:customStyle="1" w:styleId="MarginNote">
    <w:name w:val="Margin Note"/>
    <w:basedOn w:val="BodyText"/>
    <w:rsid w:val="00100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3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30A"/>
    <w:rPr>
      <w:sz w:val="32"/>
    </w:rPr>
  </w:style>
  <w:style w:type="paragraph" w:customStyle="1" w:styleId="HeadingProcedure">
    <w:name w:val="Heading Procedure"/>
    <w:basedOn w:val="HeadingBase"/>
    <w:next w:val="Normal"/>
    <w:rsid w:val="0010030A"/>
    <w:pPr>
      <w:tabs>
        <w:tab w:val="left" w:pos="0"/>
      </w:tabs>
      <w:spacing w:before="120" w:after="60"/>
    </w:pPr>
    <w:rPr>
      <w:i/>
      <w:color w:val="918585"/>
      <w:sz w:val="22"/>
    </w:rPr>
  </w:style>
  <w:style w:type="paragraph" w:customStyle="1" w:styleId="TableBodyText">
    <w:name w:val="Table Body Text"/>
    <w:basedOn w:val="BodyText"/>
    <w:rsid w:val="0010030A"/>
    <w:pPr>
      <w:spacing w:before="60" w:after="60"/>
    </w:pPr>
  </w:style>
  <w:style w:type="paragraph" w:styleId="ListContinue">
    <w:name w:val="List Continue"/>
    <w:basedOn w:val="List"/>
    <w:rsid w:val="0010030A"/>
    <w:pPr>
      <w:ind w:firstLine="0"/>
    </w:pPr>
  </w:style>
  <w:style w:type="paragraph" w:customStyle="1" w:styleId="ListNote">
    <w:name w:val="List Note"/>
    <w:basedOn w:val="List"/>
    <w:rsid w:val="0010030A"/>
    <w:pPr>
      <w:pBdr>
        <w:top w:val="single" w:sz="6" w:space="2" w:color="918585"/>
        <w:bottom w:val="single" w:sz="6" w:space="2" w:color="918585"/>
      </w:pBdr>
      <w:tabs>
        <w:tab w:val="left" w:pos="1021"/>
      </w:tabs>
      <w:ind w:firstLine="0"/>
    </w:pPr>
  </w:style>
  <w:style w:type="paragraph" w:customStyle="1" w:styleId="Warning">
    <w:name w:val="Warning"/>
    <w:basedOn w:val="BodyText"/>
    <w:rsid w:val="0010030A"/>
    <w:pPr>
      <w:shd w:val="clear" w:color="auto" w:fill="D9D9D9"/>
      <w:tabs>
        <w:tab w:val="left" w:pos="992"/>
      </w:tabs>
      <w:ind w:left="119" w:right="119"/>
    </w:pPr>
    <w:rPr>
      <w:sz w:val="20"/>
    </w:rPr>
  </w:style>
  <w:style w:type="paragraph" w:customStyle="1" w:styleId="MarginIcons">
    <w:name w:val="Margin Icons"/>
    <w:basedOn w:val="BodyText"/>
    <w:rsid w:val="00100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30A"/>
    <w:rPr>
      <w:rFonts w:ascii="Courier New" w:hAnsi="Courier New"/>
    </w:rPr>
  </w:style>
  <w:style w:type="paragraph" w:customStyle="1" w:styleId="NoteBullet">
    <w:name w:val="Note Bullet"/>
    <w:basedOn w:val="Note"/>
    <w:rsid w:val="0010030A"/>
    <w:pPr>
      <w:tabs>
        <w:tab w:val="clear" w:pos="680"/>
      </w:tabs>
      <w:spacing w:before="60" w:after="60"/>
    </w:pPr>
  </w:style>
  <w:style w:type="paragraph" w:customStyle="1" w:styleId="SubHeading2">
    <w:name w:val="SubHeading2"/>
    <w:basedOn w:val="HeadingBase"/>
    <w:rsid w:val="0010030A"/>
    <w:pPr>
      <w:spacing w:before="240" w:after="60"/>
    </w:pPr>
    <w:rPr>
      <w:sz w:val="20"/>
    </w:rPr>
  </w:style>
  <w:style w:type="paragraph" w:customStyle="1" w:styleId="SubHeading1">
    <w:name w:val="SubHeading1"/>
    <w:basedOn w:val="HeadingBase"/>
    <w:rsid w:val="0010030A"/>
    <w:pPr>
      <w:spacing w:before="240" w:after="60"/>
    </w:pPr>
    <w:rPr>
      <w:color w:val="918585"/>
      <w:sz w:val="22"/>
    </w:rPr>
  </w:style>
  <w:style w:type="paragraph" w:customStyle="1" w:styleId="SideHeading">
    <w:name w:val="Side Heading"/>
    <w:basedOn w:val="HeadingBase"/>
    <w:rsid w:val="00100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30A"/>
    <w:pPr>
      <w:numPr>
        <w:numId w:val="12"/>
      </w:numPr>
    </w:pPr>
  </w:style>
  <w:style w:type="paragraph" w:styleId="PlainText">
    <w:name w:val="Plain Text"/>
    <w:basedOn w:val="Normal"/>
    <w:link w:val="PlainTextChar"/>
    <w:rsid w:val="0010030A"/>
    <w:rPr>
      <w:sz w:val="20"/>
    </w:rPr>
  </w:style>
  <w:style w:type="character" w:customStyle="1" w:styleId="PlainTextChar">
    <w:name w:val="Plain Text Char"/>
    <w:basedOn w:val="DefaultParagraphFont"/>
    <w:link w:val="PlainText"/>
    <w:rsid w:val="0010030A"/>
    <w:rPr>
      <w:rFonts w:ascii="Courier New" w:eastAsia="Times New Roman" w:hAnsi="Courier New" w:cs="Times New Roman"/>
      <w:sz w:val="20"/>
      <w:szCs w:val="20"/>
      <w:lang w:eastAsia="en-US"/>
    </w:rPr>
  </w:style>
  <w:style w:type="character" w:customStyle="1" w:styleId="MenuOption">
    <w:name w:val="Menu Option"/>
    <w:basedOn w:val="DefaultParagraphFont"/>
    <w:rsid w:val="0010030A"/>
    <w:rPr>
      <w:b/>
      <w:smallCaps/>
    </w:rPr>
  </w:style>
  <w:style w:type="paragraph" w:customStyle="1" w:styleId="TableListNumber">
    <w:name w:val="Table List Number"/>
    <w:basedOn w:val="ListNumber"/>
    <w:rsid w:val="0010030A"/>
    <w:pPr>
      <w:numPr>
        <w:numId w:val="0"/>
      </w:numPr>
    </w:pPr>
  </w:style>
  <w:style w:type="paragraph" w:styleId="TOC4">
    <w:name w:val="toc 4"/>
    <w:basedOn w:val="TOCBase"/>
    <w:next w:val="Normal"/>
    <w:semiHidden/>
    <w:rsid w:val="0010030A"/>
    <w:pPr>
      <w:tabs>
        <w:tab w:val="right" w:leader="dot" w:pos="9071"/>
      </w:tabs>
      <w:ind w:left="1701"/>
    </w:pPr>
  </w:style>
  <w:style w:type="paragraph" w:customStyle="1" w:styleId="ListAlpha">
    <w:name w:val="List Alpha"/>
    <w:basedOn w:val="List"/>
    <w:rsid w:val="0010030A"/>
    <w:pPr>
      <w:numPr>
        <w:numId w:val="10"/>
      </w:numPr>
    </w:pPr>
  </w:style>
  <w:style w:type="paragraph" w:customStyle="1" w:styleId="ListAlpha2">
    <w:name w:val="List Alpha 2"/>
    <w:basedOn w:val="List2"/>
    <w:rsid w:val="0010030A"/>
    <w:pPr>
      <w:numPr>
        <w:numId w:val="9"/>
      </w:numPr>
    </w:pPr>
  </w:style>
  <w:style w:type="paragraph" w:styleId="List2">
    <w:name w:val="List 2"/>
    <w:basedOn w:val="BodyText"/>
    <w:rsid w:val="0010030A"/>
    <w:pPr>
      <w:tabs>
        <w:tab w:val="left" w:pos="680"/>
      </w:tabs>
      <w:spacing w:before="60" w:after="60"/>
      <w:ind w:left="680" w:hanging="340"/>
    </w:pPr>
  </w:style>
  <w:style w:type="paragraph" w:styleId="List3">
    <w:name w:val="List 3"/>
    <w:basedOn w:val="BodyText"/>
    <w:rsid w:val="0010030A"/>
    <w:pPr>
      <w:tabs>
        <w:tab w:val="left" w:pos="1021"/>
      </w:tabs>
      <w:spacing w:before="60" w:after="60"/>
      <w:ind w:left="1020" w:hanging="340"/>
    </w:pPr>
  </w:style>
  <w:style w:type="paragraph" w:styleId="List4">
    <w:name w:val="List 4"/>
    <w:basedOn w:val="BodyText"/>
    <w:rsid w:val="0010030A"/>
    <w:pPr>
      <w:tabs>
        <w:tab w:val="left" w:pos="1361"/>
      </w:tabs>
      <w:spacing w:before="60" w:after="60"/>
      <w:ind w:left="1361" w:hanging="340"/>
    </w:pPr>
  </w:style>
  <w:style w:type="paragraph" w:styleId="List5">
    <w:name w:val="List 5"/>
    <w:basedOn w:val="BodyText"/>
    <w:rsid w:val="0010030A"/>
    <w:pPr>
      <w:tabs>
        <w:tab w:val="left" w:pos="1701"/>
      </w:tabs>
      <w:spacing w:before="60" w:after="60"/>
      <w:ind w:left="1701" w:hanging="340"/>
    </w:pPr>
  </w:style>
  <w:style w:type="paragraph" w:styleId="ListBullet4">
    <w:name w:val="List Bullet 4"/>
    <w:basedOn w:val="List4"/>
    <w:rsid w:val="0010030A"/>
    <w:pPr>
      <w:numPr>
        <w:numId w:val="4"/>
      </w:numPr>
      <w:tabs>
        <w:tab w:val="clear" w:pos="1361"/>
      </w:tabs>
    </w:pPr>
  </w:style>
  <w:style w:type="paragraph" w:styleId="ListBullet5">
    <w:name w:val="List Bullet 5"/>
    <w:basedOn w:val="List5"/>
    <w:rsid w:val="0010030A"/>
    <w:pPr>
      <w:numPr>
        <w:numId w:val="5"/>
      </w:numPr>
    </w:pPr>
  </w:style>
  <w:style w:type="paragraph" w:styleId="ListContinue2">
    <w:name w:val="List Continue 2"/>
    <w:basedOn w:val="List2"/>
    <w:rsid w:val="0010030A"/>
    <w:pPr>
      <w:ind w:firstLine="0"/>
    </w:pPr>
  </w:style>
  <w:style w:type="paragraph" w:styleId="ListContinue3">
    <w:name w:val="List Continue 3"/>
    <w:basedOn w:val="List3"/>
    <w:rsid w:val="0010030A"/>
    <w:pPr>
      <w:ind w:left="1021" w:firstLine="0"/>
    </w:pPr>
  </w:style>
  <w:style w:type="paragraph" w:styleId="ListContinue4">
    <w:name w:val="List Continue 4"/>
    <w:basedOn w:val="List4"/>
    <w:rsid w:val="0010030A"/>
    <w:pPr>
      <w:ind w:firstLine="0"/>
    </w:pPr>
  </w:style>
  <w:style w:type="paragraph" w:styleId="ListContinue5">
    <w:name w:val="List Continue 5"/>
    <w:basedOn w:val="List5"/>
    <w:rsid w:val="0010030A"/>
    <w:pPr>
      <w:ind w:firstLine="0"/>
    </w:pPr>
  </w:style>
  <w:style w:type="paragraph" w:styleId="ListNumber3">
    <w:name w:val="List Number 3"/>
    <w:basedOn w:val="List3"/>
    <w:rsid w:val="0010030A"/>
    <w:pPr>
      <w:numPr>
        <w:numId w:val="6"/>
      </w:numPr>
    </w:pPr>
  </w:style>
  <w:style w:type="paragraph" w:styleId="ListNumber4">
    <w:name w:val="List Number 4"/>
    <w:basedOn w:val="List4"/>
    <w:rsid w:val="0010030A"/>
    <w:pPr>
      <w:numPr>
        <w:numId w:val="7"/>
      </w:numPr>
    </w:pPr>
  </w:style>
  <w:style w:type="paragraph" w:styleId="ListNumber5">
    <w:name w:val="List Number 5"/>
    <w:basedOn w:val="List5"/>
    <w:rsid w:val="0010030A"/>
    <w:pPr>
      <w:numPr>
        <w:numId w:val="8"/>
      </w:numPr>
    </w:pPr>
  </w:style>
  <w:style w:type="paragraph" w:styleId="BlockText">
    <w:name w:val="Block Text"/>
    <w:basedOn w:val="Normal"/>
    <w:rsid w:val="0010030A"/>
    <w:pPr>
      <w:spacing w:after="120"/>
      <w:ind w:left="1440" w:right="1440"/>
    </w:pPr>
  </w:style>
  <w:style w:type="character" w:customStyle="1" w:styleId="Subscript">
    <w:name w:val="Subscript"/>
    <w:basedOn w:val="DefaultParagraphFont"/>
    <w:rsid w:val="0010030A"/>
    <w:rPr>
      <w:sz w:val="16"/>
      <w:vertAlign w:val="subscript"/>
    </w:rPr>
  </w:style>
  <w:style w:type="character" w:customStyle="1" w:styleId="Superscript">
    <w:name w:val="Superscript"/>
    <w:basedOn w:val="DefaultParagraphFont"/>
    <w:rsid w:val="0010030A"/>
    <w:rPr>
      <w:sz w:val="16"/>
      <w:vertAlign w:val="superscript"/>
    </w:rPr>
  </w:style>
  <w:style w:type="character" w:customStyle="1" w:styleId="Symbols">
    <w:name w:val="Symbols"/>
    <w:basedOn w:val="DefaultParagraphFont"/>
    <w:rsid w:val="0010030A"/>
    <w:rPr>
      <w:rFonts w:ascii="Symbol" w:hAnsi="Symbol"/>
    </w:rPr>
  </w:style>
  <w:style w:type="character" w:customStyle="1" w:styleId="MenuOptions">
    <w:name w:val="Menu Options"/>
    <w:basedOn w:val="DefaultParagraphFont"/>
    <w:rsid w:val="0010030A"/>
    <w:rPr>
      <w:rFonts w:ascii="Arial Narrow" w:hAnsi="Arial Narrow"/>
      <w:smallCaps/>
    </w:rPr>
  </w:style>
  <w:style w:type="character" w:customStyle="1" w:styleId="Buttons">
    <w:name w:val="Buttons"/>
    <w:basedOn w:val="DefaultParagraphFont"/>
    <w:rsid w:val="0010030A"/>
    <w:rPr>
      <w:b/>
    </w:rPr>
  </w:style>
  <w:style w:type="character" w:customStyle="1" w:styleId="Underlined">
    <w:name w:val="Underlined"/>
    <w:basedOn w:val="DefaultParagraphFont"/>
    <w:rsid w:val="0010030A"/>
    <w:rPr>
      <w:u w:val="single"/>
    </w:rPr>
  </w:style>
  <w:style w:type="paragraph" w:customStyle="1" w:styleId="TableBodyTextRight">
    <w:name w:val="Table Body Text Right"/>
    <w:basedOn w:val="TableBodyText"/>
    <w:rsid w:val="0010030A"/>
    <w:pPr>
      <w:widowControl w:val="0"/>
      <w:autoSpaceDE w:val="0"/>
      <w:autoSpaceDN w:val="0"/>
      <w:adjustRightInd w:val="0"/>
      <w:jc w:val="right"/>
    </w:pPr>
    <w:rPr>
      <w:rFonts w:cs="Arial"/>
      <w:szCs w:val="18"/>
    </w:rPr>
  </w:style>
  <w:style w:type="paragraph" w:customStyle="1" w:styleId="CopyrightText">
    <w:name w:val="Copyright Text"/>
    <w:basedOn w:val="BodyText"/>
    <w:rsid w:val="0010030A"/>
    <w:rPr>
      <w:sz w:val="18"/>
    </w:rPr>
  </w:style>
  <w:style w:type="paragraph" w:customStyle="1" w:styleId="BodySmallRight">
    <w:name w:val="Body Small Right"/>
    <w:basedOn w:val="BodyTextRight"/>
    <w:rsid w:val="0010030A"/>
    <w:rPr>
      <w:sz w:val="18"/>
      <w:szCs w:val="18"/>
    </w:rPr>
  </w:style>
  <w:style w:type="paragraph" w:customStyle="1" w:styleId="MarginEdition">
    <w:name w:val="Margin Edition"/>
    <w:basedOn w:val="MarginNote"/>
    <w:rsid w:val="0010030A"/>
    <w:pPr>
      <w:spacing w:before="0" w:after="0"/>
    </w:pPr>
    <w:rPr>
      <w:rFonts w:ascii="Times New Roman" w:hAnsi="Times New Roman"/>
      <w:color w:val="999999"/>
    </w:rPr>
  </w:style>
  <w:style w:type="paragraph" w:customStyle="1" w:styleId="Spacer">
    <w:name w:val="Spacer"/>
    <w:basedOn w:val="Normal"/>
    <w:rsid w:val="0010030A"/>
    <w:rPr>
      <w:sz w:val="2"/>
      <w:szCs w:val="2"/>
    </w:rPr>
  </w:style>
  <w:style w:type="character" w:customStyle="1" w:styleId="Small">
    <w:name w:val="Small"/>
    <w:basedOn w:val="DefaultParagraphFont"/>
    <w:rsid w:val="0010030A"/>
    <w:rPr>
      <w:sz w:val="16"/>
    </w:rPr>
  </w:style>
  <w:style w:type="paragraph" w:customStyle="1" w:styleId="WideTable">
    <w:name w:val="Wide Table"/>
    <w:basedOn w:val="Normal"/>
    <w:rsid w:val="0010030A"/>
    <w:pPr>
      <w:ind w:left="-1418"/>
    </w:pPr>
    <w:rPr>
      <w:sz w:val="2"/>
      <w:szCs w:val="2"/>
    </w:rPr>
  </w:style>
  <w:style w:type="character" w:styleId="PageNumber">
    <w:name w:val="page number"/>
    <w:basedOn w:val="DefaultParagraphFont"/>
    <w:rsid w:val="0010030A"/>
  </w:style>
  <w:style w:type="paragraph" w:styleId="Quote">
    <w:name w:val="Quote"/>
    <w:basedOn w:val="Heading1"/>
    <w:link w:val="QuoteChar"/>
    <w:qFormat/>
    <w:rsid w:val="0010030A"/>
    <w:rPr>
      <w:b w:val="0"/>
      <w:sz w:val="72"/>
      <w:szCs w:val="72"/>
      <w:lang w:val="en-NZ"/>
    </w:rPr>
  </w:style>
  <w:style w:type="character" w:customStyle="1" w:styleId="QuoteChar">
    <w:name w:val="Quote Char"/>
    <w:basedOn w:val="DefaultParagraphFont"/>
    <w:link w:val="Quote"/>
    <w:rsid w:val="00100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30A"/>
    <w:pPr>
      <w:pageBreakBefore/>
    </w:pPr>
  </w:style>
  <w:style w:type="paragraph" w:customStyle="1" w:styleId="Border">
    <w:name w:val="Border"/>
    <w:basedOn w:val="Normal"/>
    <w:qFormat/>
    <w:rsid w:val="00100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30A"/>
    <w:rPr>
      <w:b/>
      <w:bCs/>
      <w:i/>
      <w:iCs/>
      <w:color w:val="auto"/>
    </w:rPr>
  </w:style>
  <w:style w:type="paragraph" w:styleId="IntenseQuote">
    <w:name w:val="Intense Quote"/>
    <w:basedOn w:val="Normal"/>
    <w:next w:val="Normal"/>
    <w:link w:val="IntenseQuoteChar"/>
    <w:uiPriority w:val="30"/>
    <w:qFormat/>
    <w:rsid w:val="00100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3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30A"/>
    <w:rPr>
      <w:smallCaps/>
      <w:color w:val="auto"/>
      <w:u w:val="single"/>
    </w:rPr>
  </w:style>
  <w:style w:type="character" w:styleId="IntenseReference">
    <w:name w:val="Intense Reference"/>
    <w:basedOn w:val="DefaultParagraphFont"/>
    <w:uiPriority w:val="32"/>
    <w:qFormat/>
    <w:rsid w:val="0010030A"/>
    <w:rPr>
      <w:b/>
      <w:bCs/>
      <w:smallCaps/>
      <w:color w:val="auto"/>
      <w:spacing w:val="5"/>
      <w:u w:val="single"/>
    </w:rPr>
  </w:style>
  <w:style w:type="paragraph" w:customStyle="1" w:styleId="2ColumnHeading">
    <w:name w:val="2Column Heading"/>
    <w:basedOn w:val="BodyText"/>
    <w:qFormat/>
    <w:rsid w:val="0010030A"/>
    <w:pPr>
      <w:spacing w:after="60"/>
      <w:ind w:left="-2268"/>
    </w:pPr>
    <w:rPr>
      <w:b/>
    </w:rPr>
  </w:style>
  <w:style w:type="paragraph" w:customStyle="1" w:styleId="Heading1TOC">
    <w:name w:val="Heading1 TOC"/>
    <w:basedOn w:val="Normal"/>
    <w:qFormat/>
    <w:rsid w:val="0010030A"/>
    <w:pPr>
      <w:spacing w:before="240" w:after="120"/>
    </w:pPr>
    <w:rPr>
      <w:rFonts w:ascii="Times New Roman" w:hAnsi="Times New Roman"/>
      <w:b/>
      <w:sz w:val="32"/>
    </w:rPr>
  </w:style>
  <w:style w:type="paragraph" w:customStyle="1" w:styleId="Heading2TOC">
    <w:name w:val="Heading2 TOC"/>
    <w:basedOn w:val="Normal"/>
    <w:qFormat/>
    <w:rsid w:val="0010030A"/>
    <w:pPr>
      <w:spacing w:before="240" w:after="60"/>
    </w:pPr>
    <w:rPr>
      <w:rFonts w:ascii="Times New Roman" w:hAnsi="Times New Roman"/>
      <w:b/>
      <w:sz w:val="28"/>
    </w:rPr>
  </w:style>
  <w:style w:type="character" w:customStyle="1" w:styleId="Underline">
    <w:name w:val="Underline"/>
    <w:basedOn w:val="DefaultParagraphFont"/>
    <w:qFormat/>
    <w:rsid w:val="0010030A"/>
    <w:rPr>
      <w:u w:val="single"/>
    </w:rPr>
  </w:style>
  <w:style w:type="character" w:customStyle="1" w:styleId="BoldandItalics">
    <w:name w:val="Bold and Italics"/>
    <w:qFormat/>
    <w:rsid w:val="0010030A"/>
    <w:rPr>
      <w:b/>
      <w:i/>
      <w:u w:val="none"/>
    </w:rPr>
  </w:style>
  <w:style w:type="paragraph" w:styleId="BalloonText">
    <w:name w:val="Balloon Text"/>
    <w:basedOn w:val="Normal"/>
    <w:link w:val="BalloonTextChar"/>
    <w:rsid w:val="0010030A"/>
    <w:rPr>
      <w:rFonts w:ascii="Tahoma" w:hAnsi="Tahoma" w:cs="Tahoma"/>
      <w:sz w:val="16"/>
      <w:szCs w:val="16"/>
    </w:rPr>
  </w:style>
  <w:style w:type="character" w:customStyle="1" w:styleId="BalloonTextChar">
    <w:name w:val="Balloon Text Char"/>
    <w:basedOn w:val="DefaultParagraphFont"/>
    <w:link w:val="BalloonText"/>
    <w:rsid w:val="001003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3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03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30A"/>
    <w:rPr>
      <w:b/>
      <w:color w:val="660033"/>
      <w:spacing w:val="0"/>
    </w:rPr>
  </w:style>
  <w:style w:type="paragraph" w:customStyle="1" w:styleId="Nameditemlist">
    <w:name w:val="Named item list"/>
    <w:basedOn w:val="BodyText"/>
    <w:qFormat/>
    <w:rsid w:val="0010030A"/>
    <w:pPr>
      <w:tabs>
        <w:tab w:val="left" w:pos="2835"/>
      </w:tabs>
      <w:ind w:left="2835" w:hanging="2835"/>
    </w:pPr>
  </w:style>
  <w:style w:type="paragraph" w:customStyle="1" w:styleId="BodyTextnopadding">
    <w:name w:val="Body Text no padding"/>
    <w:basedOn w:val="BodyText"/>
    <w:qFormat/>
    <w:rsid w:val="0010030A"/>
    <w:pPr>
      <w:spacing w:before="0" w:after="0"/>
    </w:pPr>
  </w:style>
  <w:style w:type="paragraph" w:customStyle="1" w:styleId="BodyTextBold">
    <w:name w:val="Body Text Bold"/>
    <w:basedOn w:val="BodyText"/>
    <w:qFormat/>
    <w:rsid w:val="0010030A"/>
    <w:rPr>
      <w:b/>
    </w:rPr>
  </w:style>
  <w:style w:type="character" w:styleId="Hyperlink">
    <w:name w:val="Hyperlink"/>
    <w:basedOn w:val="DefaultParagraphFont"/>
    <w:uiPriority w:val="99"/>
    <w:unhideWhenUsed/>
    <w:rsid w:val="007C01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1942</Words>
  <Characters>12647</Characters>
  <Application>Microsoft Office Word</Application>
  <DocSecurity>0</DocSecurity>
  <Lines>332</Lines>
  <Paragraphs>224</Paragraphs>
  <ScaleCrop>false</ScaleCrop>
  <Company>Author-it Software Corporation Ltd.</Company>
  <LinksUpToDate>false</LinksUpToDate>
  <CharactersWithSpaces>14365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HLTAHCS003 Complete routine physical health assessments</dc:title>
  <dc:subject>Approved</dc:subject>
  <dc:creator>HumanAbility</dc:creator>
  <cp:keywords>Release: 1</cp:keywords>
  <dc:description>Review Date: 12 April 2008</dc:description>
  <cp:lastModifiedBy>HSD_TPCMSd.prod</cp:lastModifiedBy>
  <cp:revision>3</cp:revision>
  <dcterms:created xsi:type="dcterms:W3CDTF">2025-03-01T15:58:00Z</dcterms:created>
  <dcterms:modified xsi:type="dcterms:W3CDTF">2025-03-01T15:58:00Z</dcterms:modified>
</cp:coreProperties>
</file>