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3EA" w:rsidP="002E2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HLTAHA042 Assist with screening and management of nutritional risk</w:t>
      </w:r>
      <w:r>
        <w:fldChar w:fldCharType="end"/>
      </w:r>
    </w:p>
    <w:p w:rsidR="002E23EA" w:rsidP="002E23EA">
      <w:pPr>
        <w:pStyle w:val="Version"/>
        <w:sectPr w:rsidSect="00D56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A0D" w:rsidP="00D56A0D">
      <w:pPr>
        <w:pStyle w:val="SuperHeading"/>
      </w:pPr>
      <w:r w:rsidRPr="00D56A0D">
        <w:t>Assessment Requirements for HLTAHA042 Assist with screening and management of nutritional risk</w:t>
      </w:r>
    </w:p>
    <w:p w:rsidR="00000000" w:rsidRPr="00D56A0D" w:rsidP="00D56A0D">
      <w:pPr>
        <w:pStyle w:val="Heading1"/>
      </w:pPr>
      <w:bookmarkStart w:id="1" w:name="O_1224889"/>
      <w:bookmarkEnd w:id="1"/>
      <w:r w:rsidRPr="00D56A0D">
        <w:t>Modification History</w:t>
      </w:r>
    </w:p>
    <w:p w:rsidR="00000000" w:rsidRPr="00D56A0D" w:rsidP="002E23EA">
      <w:pPr>
        <w:pStyle w:val="BodyText"/>
      </w:pPr>
      <w:r w:rsidRPr="00D56A0D">
        <w:t>Not applicable.</w:t>
      </w:r>
    </w:p>
    <w:p w:rsidR="00000000" w:rsidRPr="00D56A0D" w:rsidP="00D56A0D">
      <w:pPr>
        <w:pStyle w:val="Heading1"/>
      </w:pPr>
      <w:bookmarkStart w:id="2" w:name="O_1224892"/>
      <w:bookmarkEnd w:id="2"/>
      <w:r w:rsidRPr="00D56A0D">
        <w:t>Performance Evidence</w:t>
      </w:r>
    </w:p>
    <w:p w:rsidR="00000000" w:rsidRPr="00D56A0D" w:rsidP="002E23EA">
      <w:pPr>
        <w:pStyle w:val="BodyText"/>
      </w:pPr>
      <w:r w:rsidRPr="00D56A0D">
        <w:t>Evidence of the</w:t>
      </w:r>
      <w:r w:rsidRPr="00D56A0D">
        <w:t xml:space="preserve"> ability to complete tasks outlined in elements and performance criteria of this unit in the context of the job role, and:</w:t>
      </w:r>
    </w:p>
    <w:p w:rsidR="00000000" w:rsidRPr="00D56A0D" w:rsidP="00D56A0D">
      <w:pPr>
        <w:pStyle w:val="ListBullet"/>
      </w:pPr>
      <w:r w:rsidRPr="00D56A0D">
        <w:t>assist with nutrition screening as delegated by the Accredited Practising Dietitian (APD) for four people, two in simulation and two</w:t>
      </w:r>
      <w:r w:rsidRPr="00D56A0D">
        <w:t xml:space="preserve"> in the workplace</w:t>
      </w:r>
    </w:p>
    <w:p w:rsidR="00000000" w:rsidRPr="00D56A0D" w:rsidP="00D56A0D">
      <w:pPr>
        <w:pStyle w:val="ListBullet"/>
      </w:pPr>
      <w:r w:rsidRPr="00D56A0D">
        <w:t>provide nutrition support interventions, including ordering or preparing dietary supplements, to four people, two in simulation and two in the workplace</w:t>
      </w:r>
    </w:p>
    <w:p w:rsidR="00000000" w:rsidRPr="00D56A0D" w:rsidP="00D56A0D">
      <w:pPr>
        <w:pStyle w:val="ListBullet"/>
      </w:pPr>
      <w:r w:rsidRPr="00D56A0D">
        <w:t>perform the activities outlined in the performance criteria of this unit during a per</w:t>
      </w:r>
      <w:r w:rsidRPr="00D56A0D">
        <w:t>iod of at least 120 hours of allied health assistance work. At least 60% of this work must be carried out in an allied health workplace. The remaining 40% may be carried out in a simulated environment, if an allied health workplace is unavailable.</w:t>
      </w:r>
    </w:p>
    <w:p w:rsidR="00000000" w:rsidRPr="00D56A0D" w:rsidP="00D56A0D">
      <w:pPr>
        <w:pStyle w:val="AllowPageBreak"/>
      </w:pPr>
    </w:p>
    <w:p w:rsidR="00000000" w:rsidRPr="00D56A0D" w:rsidP="00D56A0D">
      <w:pPr>
        <w:pStyle w:val="Heading1"/>
      </w:pPr>
      <w:bookmarkStart w:id="3" w:name="O_1224891"/>
      <w:bookmarkEnd w:id="3"/>
      <w:r w:rsidRPr="00D56A0D">
        <w:t>Knowledge Evidence</w:t>
      </w:r>
    </w:p>
    <w:p w:rsidR="00000000" w:rsidRPr="00D56A0D" w:rsidP="002E23EA">
      <w:pPr>
        <w:pStyle w:val="BodyText"/>
      </w:pPr>
      <w:r w:rsidRPr="00D56A0D">
        <w:t>Demonstrate the knowledge required to complete the tasks outlined in elements and performance criteria of this unit:</w:t>
      </w:r>
    </w:p>
    <w:p w:rsidR="00000000" w:rsidRPr="00D56A0D" w:rsidP="00D56A0D">
      <w:pPr>
        <w:pStyle w:val="ListBullet"/>
      </w:pPr>
      <w:r w:rsidRPr="00D56A0D">
        <w:t>allied health core competencies:</w:t>
      </w:r>
    </w:p>
    <w:p w:rsidR="00000000" w:rsidRPr="00D56A0D" w:rsidP="00D56A0D">
      <w:pPr>
        <w:pStyle w:val="ListBullet2"/>
      </w:pPr>
      <w:r w:rsidRPr="00D56A0D">
        <w:t>person-centred care</w:t>
      </w:r>
    </w:p>
    <w:p w:rsidR="00000000" w:rsidRPr="00D56A0D" w:rsidP="00D56A0D">
      <w:pPr>
        <w:pStyle w:val="ListBullet2"/>
      </w:pPr>
      <w:r w:rsidRPr="00D56A0D">
        <w:t>individual therapy</w:t>
      </w:r>
    </w:p>
    <w:p w:rsidR="00000000" w:rsidRPr="00D56A0D" w:rsidP="00D56A0D">
      <w:pPr>
        <w:pStyle w:val="ListBullet2"/>
      </w:pPr>
      <w:r w:rsidRPr="00D56A0D">
        <w:t>group therapy</w:t>
      </w:r>
    </w:p>
    <w:p w:rsidR="00000000" w:rsidRPr="00D56A0D" w:rsidP="00D56A0D">
      <w:pPr>
        <w:pStyle w:val="ListBullet2"/>
      </w:pPr>
      <w:r w:rsidRPr="00D56A0D">
        <w:t>communication of information</w:t>
      </w:r>
    </w:p>
    <w:p w:rsidR="00000000" w:rsidRPr="00D56A0D" w:rsidP="00D56A0D">
      <w:pPr>
        <w:pStyle w:val="ListBullet2"/>
      </w:pPr>
      <w:r w:rsidRPr="00D56A0D">
        <w:t>equipment and environment</w:t>
      </w:r>
    </w:p>
    <w:p w:rsidR="00000000" w:rsidRPr="00D56A0D" w:rsidP="00D56A0D">
      <w:pPr>
        <w:pStyle w:val="ListBullet"/>
      </w:pPr>
      <w:r w:rsidRPr="00D56A0D">
        <w:t>principles of:</w:t>
      </w:r>
    </w:p>
    <w:p w:rsidR="00000000" w:rsidRPr="00D56A0D" w:rsidP="00D56A0D">
      <w:pPr>
        <w:pStyle w:val="ListBullet2"/>
      </w:pPr>
      <w:r w:rsidRPr="00D56A0D">
        <w:t>the impact of diet on health</w:t>
      </w:r>
    </w:p>
    <w:p w:rsidR="00000000" w:rsidRPr="00D56A0D" w:rsidP="00D56A0D">
      <w:pPr>
        <w:pStyle w:val="ListBullet2"/>
      </w:pPr>
      <w:r w:rsidRPr="00D56A0D">
        <w:t>fluid intake</w:t>
      </w:r>
    </w:p>
    <w:p w:rsidR="00000000" w:rsidRPr="00D56A0D" w:rsidP="00D56A0D">
      <w:pPr>
        <w:pStyle w:val="ListBullet2"/>
      </w:pPr>
      <w:r w:rsidRPr="00D56A0D">
        <w:t>rehabilitation</w:t>
      </w:r>
    </w:p>
    <w:p w:rsidR="00000000" w:rsidRPr="00D56A0D" w:rsidP="00D56A0D">
      <w:pPr>
        <w:pStyle w:val="ListBullet2"/>
      </w:pPr>
      <w:r w:rsidRPr="00D56A0D">
        <w:t>an individualised plan</w:t>
      </w:r>
    </w:p>
    <w:p w:rsidR="00000000" w:rsidRPr="00D56A0D" w:rsidP="00D56A0D">
      <w:pPr>
        <w:pStyle w:val="ListBullet"/>
      </w:pPr>
      <w:r w:rsidRPr="00D56A0D">
        <w:t>common dietary modification including:</w:t>
      </w:r>
    </w:p>
    <w:p w:rsidR="00000000" w:rsidRPr="00D56A0D" w:rsidP="00D56A0D">
      <w:pPr>
        <w:pStyle w:val="ListBullet2"/>
      </w:pPr>
      <w:r w:rsidRPr="00D56A0D">
        <w:t>diabetes</w:t>
      </w:r>
    </w:p>
    <w:p w:rsidR="00000000" w:rsidRPr="00D56A0D" w:rsidP="00D56A0D">
      <w:pPr>
        <w:pStyle w:val="ListBullet2"/>
      </w:pPr>
      <w:r w:rsidRPr="00D56A0D">
        <w:t>low saturated fat</w:t>
      </w:r>
    </w:p>
    <w:p w:rsidR="00000000" w:rsidRPr="00D56A0D" w:rsidP="00D56A0D">
      <w:pPr>
        <w:pStyle w:val="ListBullet2"/>
      </w:pPr>
      <w:r w:rsidRPr="00D56A0D">
        <w:t>high energy</w:t>
      </w:r>
    </w:p>
    <w:p w:rsidR="00000000" w:rsidRPr="00D56A0D" w:rsidP="00D56A0D">
      <w:pPr>
        <w:pStyle w:val="ListBullet2"/>
      </w:pPr>
      <w:r w:rsidRPr="00D56A0D">
        <w:t>food allergens</w:t>
      </w:r>
    </w:p>
    <w:p w:rsidR="00000000" w:rsidRPr="00D56A0D" w:rsidP="00D56A0D">
      <w:pPr>
        <w:pStyle w:val="ListBullet2"/>
      </w:pPr>
      <w:r w:rsidRPr="00D56A0D">
        <w:t>diets for</w:t>
      </w:r>
      <w:r w:rsidRPr="00D56A0D">
        <w:t xml:space="preserve"> food intolerances including gluten-free</w:t>
      </w:r>
    </w:p>
    <w:p w:rsidR="00000000" w:rsidRPr="00D56A0D" w:rsidP="00D56A0D">
      <w:pPr>
        <w:pStyle w:val="ListBullet2"/>
      </w:pPr>
      <w:r w:rsidRPr="00D56A0D">
        <w:t>age and developmentally appropriate diets</w:t>
      </w:r>
    </w:p>
    <w:p w:rsidR="00000000" w:rsidRPr="00D56A0D" w:rsidP="00D56A0D">
      <w:pPr>
        <w:pStyle w:val="ListBullet2"/>
      </w:pPr>
      <w:r w:rsidRPr="00D56A0D">
        <w:t>modified:</w:t>
      </w:r>
    </w:p>
    <w:p w:rsidR="00000000" w:rsidRPr="00D56A0D" w:rsidP="00D56A0D">
      <w:pPr>
        <w:pStyle w:val="ListBullet3"/>
      </w:pPr>
      <w:r w:rsidRPr="00D56A0D">
        <w:t>salt</w:t>
      </w:r>
    </w:p>
    <w:p w:rsidR="00000000" w:rsidRPr="00D56A0D" w:rsidP="00D56A0D">
      <w:pPr>
        <w:pStyle w:val="ListBullet3"/>
      </w:pPr>
      <w:r w:rsidRPr="00D56A0D">
        <w:t>fat</w:t>
      </w:r>
    </w:p>
    <w:p w:rsidR="00000000" w:rsidRPr="00D56A0D" w:rsidP="00D56A0D">
      <w:pPr>
        <w:pStyle w:val="ListBullet3"/>
      </w:pPr>
      <w:r w:rsidRPr="00D56A0D">
        <w:t>protein</w:t>
      </w:r>
    </w:p>
    <w:p w:rsidR="00000000" w:rsidRPr="00D56A0D" w:rsidP="00D56A0D">
      <w:pPr>
        <w:pStyle w:val="ListBullet3"/>
      </w:pPr>
      <w:r w:rsidRPr="00D56A0D">
        <w:t>potassium</w:t>
      </w:r>
    </w:p>
    <w:p w:rsidR="00000000" w:rsidRPr="00D56A0D" w:rsidP="00D56A0D">
      <w:pPr>
        <w:pStyle w:val="ListBullet3"/>
      </w:pPr>
      <w:r w:rsidRPr="00D56A0D">
        <w:t>fluids</w:t>
      </w:r>
    </w:p>
    <w:p w:rsidR="00000000" w:rsidRPr="00D56A0D" w:rsidP="00D56A0D">
      <w:pPr>
        <w:pStyle w:val="ListBullet3"/>
      </w:pPr>
      <w:r w:rsidRPr="00D56A0D">
        <w:t>fibre</w:t>
      </w:r>
    </w:p>
    <w:p w:rsidR="00000000" w:rsidRPr="00D56A0D" w:rsidP="00D56A0D">
      <w:pPr>
        <w:pStyle w:val="ListBullet"/>
      </w:pPr>
      <w:r w:rsidRPr="00D56A0D">
        <w:t xml:space="preserve">texture and fluid modifications in accordance with The International Dysphagia Diet Standardisation </w:t>
      </w:r>
      <w:r w:rsidRPr="00D56A0D">
        <w:t>Initiative (IDDSI) Framework</w:t>
      </w:r>
    </w:p>
    <w:p w:rsidR="00000000" w:rsidRPr="00D56A0D" w:rsidP="00D56A0D">
      <w:pPr>
        <w:pStyle w:val="ListBullet"/>
      </w:pPr>
      <w:r w:rsidRPr="00D56A0D">
        <w:t>oral nutrition support products and enteral feeds</w:t>
      </w:r>
    </w:p>
    <w:p w:rsidR="00000000" w:rsidRPr="00D56A0D" w:rsidP="00D56A0D">
      <w:pPr>
        <w:pStyle w:val="ListBullet"/>
      </w:pPr>
      <w:r w:rsidRPr="00D56A0D">
        <w:t>nutritional risk indicators:</w:t>
      </w:r>
    </w:p>
    <w:p w:rsidR="00000000" w:rsidRPr="00D56A0D" w:rsidP="00D56A0D">
      <w:pPr>
        <w:pStyle w:val="ListBullet2"/>
      </w:pPr>
      <w:r w:rsidRPr="00D56A0D">
        <w:t>weight change</w:t>
      </w:r>
    </w:p>
    <w:p w:rsidR="00000000" w:rsidRPr="00D56A0D" w:rsidP="00D56A0D">
      <w:pPr>
        <w:pStyle w:val="ListBullet2"/>
      </w:pPr>
      <w:r w:rsidRPr="00D56A0D">
        <w:t>reduction in food intake due to:</w:t>
      </w:r>
    </w:p>
    <w:p w:rsidR="00000000" w:rsidRPr="00D56A0D" w:rsidP="00D56A0D">
      <w:pPr>
        <w:pStyle w:val="ListBullet3"/>
      </w:pPr>
      <w:r w:rsidRPr="00D56A0D">
        <w:t>appetite</w:t>
      </w:r>
    </w:p>
    <w:p w:rsidR="00000000" w:rsidRPr="00D56A0D" w:rsidP="00D56A0D">
      <w:pPr>
        <w:pStyle w:val="ListBullet3"/>
      </w:pPr>
      <w:r w:rsidRPr="00D56A0D">
        <w:t>dysphagia</w:t>
      </w:r>
    </w:p>
    <w:p w:rsidR="00000000" w:rsidRPr="00D56A0D" w:rsidP="00D56A0D">
      <w:pPr>
        <w:pStyle w:val="ListBullet3"/>
      </w:pPr>
      <w:r w:rsidRPr="00D56A0D">
        <w:t>oral health/dentition</w:t>
      </w:r>
    </w:p>
    <w:p w:rsidR="00000000" w:rsidRPr="00D56A0D" w:rsidP="00D56A0D">
      <w:pPr>
        <w:pStyle w:val="ListBullet2"/>
      </w:pPr>
      <w:r w:rsidRPr="00D56A0D">
        <w:t>bowel function</w:t>
      </w:r>
    </w:p>
    <w:p w:rsidR="00000000" w:rsidRPr="00D56A0D" w:rsidP="00D56A0D">
      <w:pPr>
        <w:pStyle w:val="ListBullet2"/>
      </w:pPr>
      <w:r w:rsidRPr="00D56A0D">
        <w:t>biochemical indicators of nutritional risk</w:t>
      </w:r>
    </w:p>
    <w:p w:rsidR="00000000" w:rsidRPr="00D56A0D" w:rsidP="00D56A0D">
      <w:pPr>
        <w:pStyle w:val="ListBullet"/>
      </w:pPr>
      <w:r w:rsidRPr="00D56A0D">
        <w:t>organisational policies and procedures in relation to:</w:t>
      </w:r>
    </w:p>
    <w:p w:rsidR="00000000" w:rsidRPr="00D56A0D" w:rsidP="00D56A0D">
      <w:pPr>
        <w:pStyle w:val="ListBullet2"/>
      </w:pPr>
      <w:r w:rsidRPr="00D56A0D">
        <w:t>confidentiality:</w:t>
      </w:r>
    </w:p>
    <w:p w:rsidR="00000000" w:rsidRPr="00D56A0D" w:rsidP="00D56A0D">
      <w:pPr>
        <w:pStyle w:val="ListBullet3"/>
      </w:pPr>
      <w:r w:rsidRPr="00D56A0D">
        <w:t>privacy</w:t>
      </w:r>
    </w:p>
    <w:p w:rsidR="00000000" w:rsidRPr="00D56A0D" w:rsidP="00D56A0D">
      <w:pPr>
        <w:pStyle w:val="ListBullet3"/>
      </w:pPr>
      <w:r w:rsidRPr="00D56A0D">
        <w:t>disclosure</w:t>
      </w:r>
    </w:p>
    <w:p w:rsidR="00000000" w:rsidRPr="00D56A0D" w:rsidP="00D56A0D">
      <w:pPr>
        <w:pStyle w:val="ListBullet2"/>
      </w:pPr>
      <w:r w:rsidRPr="00D56A0D">
        <w:t xml:space="preserve">duty of care </w:t>
      </w:r>
    </w:p>
    <w:p w:rsidR="00000000" w:rsidRPr="00D56A0D" w:rsidP="00D56A0D">
      <w:pPr>
        <w:pStyle w:val="ListBullet2"/>
      </w:pPr>
      <w:r w:rsidRPr="00D56A0D">
        <w:t>documentation:</w:t>
      </w:r>
    </w:p>
    <w:p w:rsidR="00000000" w:rsidRPr="00D56A0D" w:rsidP="00D56A0D">
      <w:pPr>
        <w:pStyle w:val="ListBullet3"/>
      </w:pPr>
      <w:r w:rsidRPr="00D56A0D">
        <w:t>reporting</w:t>
      </w:r>
    </w:p>
    <w:p w:rsidR="00000000" w:rsidRPr="00D56A0D" w:rsidP="00D56A0D">
      <w:pPr>
        <w:pStyle w:val="ListBullet3"/>
      </w:pPr>
      <w:r w:rsidRPr="00D56A0D">
        <w:t>recording data</w:t>
      </w:r>
    </w:p>
    <w:p w:rsidR="00000000" w:rsidRPr="00D56A0D" w:rsidP="00D56A0D">
      <w:pPr>
        <w:pStyle w:val="ListBullet3"/>
      </w:pPr>
      <w:r w:rsidRPr="00D56A0D">
        <w:t>written communication to Dietitian</w:t>
      </w:r>
    </w:p>
    <w:p w:rsidR="00000000" w:rsidRPr="00D56A0D" w:rsidP="00D56A0D">
      <w:pPr>
        <w:pStyle w:val="ListBullet2"/>
      </w:pPr>
      <w:r w:rsidRPr="00D56A0D">
        <w:t>professional behaviour and presentation</w:t>
      </w:r>
    </w:p>
    <w:p w:rsidR="00000000" w:rsidRPr="00D56A0D" w:rsidP="00D56A0D">
      <w:pPr>
        <w:pStyle w:val="ListBullet2"/>
      </w:pPr>
      <w:r w:rsidRPr="00D56A0D">
        <w:t>infection control practices</w:t>
      </w:r>
    </w:p>
    <w:p w:rsidR="00000000" w:rsidRPr="00D56A0D" w:rsidP="00D56A0D">
      <w:pPr>
        <w:pStyle w:val="ListBullet2"/>
      </w:pPr>
      <w:r w:rsidRPr="00D56A0D">
        <w:t>work health and safety (WHS)</w:t>
      </w:r>
    </w:p>
    <w:p w:rsidR="00000000" w:rsidRPr="00D56A0D" w:rsidP="00D56A0D">
      <w:pPr>
        <w:pStyle w:val="ListBullet2"/>
      </w:pPr>
      <w:r w:rsidRPr="00D56A0D">
        <w:t>manual handling</w:t>
      </w:r>
    </w:p>
    <w:p w:rsidR="00000000" w:rsidRPr="00D56A0D" w:rsidP="00D56A0D">
      <w:pPr>
        <w:pStyle w:val="ListBullet2"/>
      </w:pPr>
      <w:r w:rsidRPr="00D56A0D">
        <w:t>supervision and delegation</w:t>
      </w:r>
    </w:p>
    <w:p w:rsidR="00000000" w:rsidRPr="00D56A0D" w:rsidP="00D56A0D">
      <w:pPr>
        <w:pStyle w:val="ListBullet"/>
      </w:pPr>
      <w:r w:rsidRPr="00D56A0D">
        <w:t>scope of role of the Allied Health Assistant and Dietitian</w:t>
      </w:r>
    </w:p>
    <w:p w:rsidR="00000000" w:rsidRPr="00D56A0D" w:rsidP="00D56A0D">
      <w:pPr>
        <w:pStyle w:val="ListBullet"/>
      </w:pPr>
      <w:r w:rsidRPr="00D56A0D">
        <w:t>supplements, including supplement equivalents, and their use</w:t>
      </w:r>
    </w:p>
    <w:p w:rsidR="00000000" w:rsidRPr="00D56A0D" w:rsidP="00D56A0D">
      <w:pPr>
        <w:pStyle w:val="ListBullet"/>
      </w:pPr>
      <w:r w:rsidRPr="00D56A0D">
        <w:t>workings and procedures of the food service system</w:t>
      </w:r>
    </w:p>
    <w:p w:rsidR="00000000" w:rsidRPr="00D56A0D" w:rsidP="00D56A0D">
      <w:pPr>
        <w:pStyle w:val="ListBullet"/>
      </w:pPr>
      <w:r w:rsidRPr="00D56A0D">
        <w:t>principles of empowering the older person</w:t>
      </w:r>
    </w:p>
    <w:p w:rsidR="00000000" w:rsidRPr="00D56A0D" w:rsidP="00D56A0D">
      <w:pPr>
        <w:pStyle w:val="ListBullet"/>
      </w:pPr>
      <w:r w:rsidRPr="00D56A0D">
        <w:t>principles of empowering people living with disability or serious mental illness</w:t>
      </w:r>
    </w:p>
    <w:p w:rsidR="00000000" w:rsidRPr="00D56A0D" w:rsidP="00D56A0D">
      <w:pPr>
        <w:pStyle w:val="ListBullet"/>
      </w:pPr>
      <w:r w:rsidRPr="00D56A0D">
        <w:t>changes related to ageing</w:t>
      </w:r>
    </w:p>
    <w:p w:rsidR="00000000" w:rsidRPr="00D56A0D" w:rsidP="00D56A0D">
      <w:pPr>
        <w:pStyle w:val="ListBullet"/>
      </w:pPr>
      <w:r w:rsidRPr="00D56A0D">
        <w:t>concepts of holistic health and wellbeing</w:t>
      </w:r>
    </w:p>
    <w:p w:rsidR="00000000" w:rsidRPr="00D56A0D" w:rsidP="00D56A0D">
      <w:pPr>
        <w:pStyle w:val="ListBullet"/>
      </w:pPr>
      <w:r w:rsidRPr="00D56A0D">
        <w:t>social determinants of health</w:t>
      </w:r>
    </w:p>
    <w:p w:rsidR="00000000" w:rsidRPr="00D56A0D" w:rsidP="00D56A0D">
      <w:pPr>
        <w:pStyle w:val="ListBullet"/>
      </w:pPr>
      <w:r w:rsidRPr="00D56A0D">
        <w:t xml:space="preserve">concepts of the medical model, the </w:t>
      </w:r>
      <w:r w:rsidRPr="00D56A0D">
        <w:t>biopsychosocial models and the human rights-based approach of allied health interventions</w:t>
      </w:r>
    </w:p>
    <w:p w:rsidR="00000000" w:rsidRPr="00D56A0D" w:rsidP="00D56A0D">
      <w:pPr>
        <w:pStyle w:val="ListBullet"/>
      </w:pPr>
      <w:r w:rsidRPr="00D56A0D">
        <w:t>principles of choice and control</w:t>
      </w:r>
    </w:p>
    <w:p w:rsidR="00000000" w:rsidRPr="00D56A0D" w:rsidP="00D56A0D">
      <w:pPr>
        <w:pStyle w:val="ListBullet"/>
      </w:pPr>
      <w:r w:rsidRPr="00D56A0D">
        <w:t>concept of reablement</w:t>
      </w:r>
    </w:p>
    <w:p w:rsidR="00000000" w:rsidRPr="00D56A0D" w:rsidP="00D56A0D">
      <w:pPr>
        <w:pStyle w:val="ListBullet"/>
      </w:pPr>
      <w:r w:rsidRPr="00D56A0D">
        <w:t>manufacturer instructions</w:t>
      </w:r>
    </w:p>
    <w:p w:rsidR="00000000" w:rsidRPr="00D56A0D" w:rsidP="00D56A0D">
      <w:pPr>
        <w:pStyle w:val="ListBullet"/>
      </w:pPr>
      <w:r w:rsidRPr="00D56A0D">
        <w:t>allied health settings:</w:t>
      </w:r>
    </w:p>
    <w:p w:rsidR="00000000" w:rsidRPr="00D56A0D" w:rsidP="00D56A0D">
      <w:pPr>
        <w:pStyle w:val="ListBullet2"/>
      </w:pPr>
      <w:r w:rsidRPr="00D56A0D">
        <w:t>hospital</w:t>
      </w:r>
    </w:p>
    <w:p w:rsidR="00000000" w:rsidRPr="00D56A0D" w:rsidP="00D56A0D">
      <w:pPr>
        <w:pStyle w:val="ListBullet2"/>
      </w:pPr>
      <w:r w:rsidRPr="00D56A0D">
        <w:t>community health</w:t>
      </w:r>
    </w:p>
    <w:p w:rsidR="00000000" w:rsidRPr="00D56A0D" w:rsidP="00D56A0D">
      <w:pPr>
        <w:pStyle w:val="ListBullet2"/>
      </w:pPr>
      <w:r w:rsidRPr="00D56A0D">
        <w:t>mental health</w:t>
      </w:r>
    </w:p>
    <w:p w:rsidR="00000000" w:rsidRPr="00D56A0D" w:rsidP="00D56A0D">
      <w:pPr>
        <w:pStyle w:val="ListBullet2"/>
      </w:pPr>
      <w:r w:rsidRPr="00D56A0D">
        <w:t>disability sector</w:t>
      </w:r>
    </w:p>
    <w:p w:rsidR="00000000" w:rsidRPr="00D56A0D" w:rsidP="00D56A0D">
      <w:pPr>
        <w:pStyle w:val="ListBullet2"/>
      </w:pPr>
      <w:r w:rsidRPr="00D56A0D">
        <w:t>aged care sectors.</w:t>
      </w:r>
    </w:p>
    <w:p w:rsidR="00000000" w:rsidRPr="00D56A0D" w:rsidP="00D56A0D">
      <w:pPr>
        <w:pStyle w:val="AllowPageBreak"/>
      </w:pPr>
    </w:p>
    <w:p w:rsidR="00000000" w:rsidRPr="00D56A0D" w:rsidP="00D56A0D">
      <w:pPr>
        <w:pStyle w:val="Heading1"/>
      </w:pPr>
      <w:bookmarkStart w:id="4" w:name="O_1224890"/>
      <w:bookmarkEnd w:id="4"/>
      <w:r w:rsidRPr="00D56A0D">
        <w:t>Assessment Conditions</w:t>
      </w:r>
    </w:p>
    <w:p w:rsidR="00000000" w:rsidRPr="00D56A0D" w:rsidP="002E23EA">
      <w:pPr>
        <w:pStyle w:val="BodyText"/>
      </w:pPr>
      <w:r w:rsidRPr="00D56A0D">
        <w:t>Skills may be demonstrated in the workplace, or in a simulated environment, as per the conditions outlined in the performance evidence.</w:t>
      </w:r>
    </w:p>
    <w:p w:rsidR="00000000" w:rsidRPr="00D56A0D" w:rsidP="002E23EA">
      <w:pPr>
        <w:pStyle w:val="BodyText"/>
      </w:pPr>
      <w:r w:rsidRPr="00D56A0D">
        <w:t>Assessment must ensure:</w:t>
      </w:r>
    </w:p>
    <w:p w:rsidR="00000000" w:rsidRPr="00D56A0D" w:rsidP="00D56A0D">
      <w:pPr>
        <w:pStyle w:val="ListBullet"/>
      </w:pPr>
      <w:r w:rsidRPr="00D56A0D">
        <w:t>access to suitable facilities, equi</w:t>
      </w:r>
      <w:r w:rsidRPr="00D56A0D">
        <w:t>pment and resources that reflect real working conditions and model industry operating conditions and contingencies</w:t>
      </w:r>
    </w:p>
    <w:p w:rsidR="00000000" w:rsidRPr="00D56A0D" w:rsidP="00D56A0D">
      <w:pPr>
        <w:pStyle w:val="ListBullet"/>
      </w:pPr>
      <w:r w:rsidRPr="00D56A0D">
        <w:t>access to manufacturer instructions</w:t>
      </w:r>
    </w:p>
    <w:p w:rsidR="00000000" w:rsidRPr="00D56A0D" w:rsidP="00D56A0D">
      <w:pPr>
        <w:pStyle w:val="ListBullet"/>
      </w:pPr>
      <w:r w:rsidRPr="00D56A0D">
        <w:t>access to individualised plans and any relevant equipment outlined in the plan</w:t>
      </w:r>
    </w:p>
    <w:p w:rsidR="00000000" w:rsidRPr="00D56A0D" w:rsidP="00D56A0D">
      <w:pPr>
        <w:pStyle w:val="ListBullet"/>
      </w:pPr>
      <w:r w:rsidRPr="00D56A0D">
        <w:t>access to organisational p</w:t>
      </w:r>
      <w:r w:rsidRPr="00D56A0D">
        <w:t>olicies and procedures</w:t>
      </w:r>
    </w:p>
    <w:p w:rsidR="00000000" w:rsidRPr="00D56A0D" w:rsidP="00D56A0D">
      <w:pPr>
        <w:pStyle w:val="ListBullet"/>
      </w:pPr>
      <w:r w:rsidRPr="00D56A0D">
        <w:t>opportunities for engagement with real people accessing allied health services.</w:t>
      </w:r>
    </w:p>
    <w:p w:rsidR="00000000" w:rsidRPr="00D56A0D" w:rsidP="002E23EA">
      <w:pPr>
        <w:pStyle w:val="BodyText"/>
      </w:pPr>
      <w:r w:rsidRPr="00D56A0D">
        <w:t>Assessors must satisfy the Standards for Registered Training Organisations requirements for assessors, and:</w:t>
      </w:r>
    </w:p>
    <w:p w:rsidR="00000000" w:rsidRPr="00D56A0D" w:rsidP="00D56A0D">
      <w:pPr>
        <w:pStyle w:val="ListBullet"/>
      </w:pPr>
      <w:r w:rsidRPr="00D56A0D">
        <w:t xml:space="preserve">be a Certificate IV qualified Allied Health </w:t>
      </w:r>
      <w:r w:rsidRPr="00D56A0D">
        <w:t>Assistant with a minimum of three years of professional experience in allied health services; or</w:t>
      </w:r>
    </w:p>
    <w:p w:rsidR="00000000" w:rsidRPr="00D56A0D" w:rsidP="00D56A0D">
      <w:pPr>
        <w:pStyle w:val="ListBullet"/>
      </w:pPr>
      <w:r w:rsidRPr="00D56A0D">
        <w:t>an Accredited Practising Dietitian (APD).</w:t>
      </w:r>
    </w:p>
    <w:p w:rsidR="00000000" w:rsidRPr="00D56A0D" w:rsidP="00D56A0D">
      <w:pPr>
        <w:pStyle w:val="AllowPageBreak"/>
      </w:pPr>
    </w:p>
    <w:p w:rsidR="00000000" w:rsidRPr="00D56A0D" w:rsidP="00D56A0D">
      <w:pPr>
        <w:pStyle w:val="Heading1"/>
      </w:pPr>
      <w:bookmarkStart w:id="5" w:name="O_1224888"/>
      <w:bookmarkEnd w:id="5"/>
      <w:r w:rsidRPr="00D56A0D">
        <w:t>Links</w:t>
      </w:r>
    </w:p>
    <w:p w:rsidR="00000000" w:rsidRPr="00D56A0D" w:rsidP="002E23EA">
      <w:pPr>
        <w:pStyle w:val="BodyText"/>
      </w:pPr>
      <w:r w:rsidRPr="00D56A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A719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56A0D" w:rsidP="00D56A0D"/>
    <w:sectPr w:rsidSect="00D56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0D" w:rsidRPr="002E23EA" w:rsidP="002E2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3EA" w:rsidP="00D56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3EA" w:rsidP="00D56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23EA" w:rsidP="00D56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A0D" w:rsidRPr="002E23EA" w:rsidP="002E2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3EA" w:rsidRPr="002D2AF8" w:rsidP="00D56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HLTAHA042 Assist with screening and management of nutritional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E23EA" w:rsidP="00D56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3C4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F24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00BE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A0D"/>
  </w:style>
  <w:style w:type="character" w:customStyle="1" w:styleId="Heading1Char">
    <w:name w:val="Heading 1 Char"/>
    <w:basedOn w:val="DefaultParagraphFont"/>
    <w:link w:val="Heading1"/>
    <w:rsid w:val="00D56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A0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6A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6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56A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56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A0D"/>
    <w:rPr>
      <w:b/>
      <w:spacing w:val="0"/>
    </w:rPr>
  </w:style>
  <w:style w:type="paragraph" w:customStyle="1" w:styleId="SuperTitle">
    <w:name w:val="SuperTitle"/>
    <w:basedOn w:val="Title"/>
    <w:rsid w:val="00D56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A0D"/>
    <w:rPr>
      <w:i/>
    </w:rPr>
  </w:style>
  <w:style w:type="paragraph" w:styleId="Caption">
    <w:name w:val="caption"/>
    <w:basedOn w:val="BodyText"/>
    <w:next w:val="Normal"/>
    <w:qFormat/>
    <w:rsid w:val="00D56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A0D"/>
  </w:style>
  <w:style w:type="paragraph" w:styleId="TableofFigures">
    <w:name w:val="table of figures"/>
    <w:basedOn w:val="Normal"/>
    <w:next w:val="Normal"/>
    <w:semiHidden/>
    <w:rsid w:val="00D56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A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56A0D"/>
    <w:rPr>
      <w:rFonts w:ascii="Wingdings" w:hAnsi="Wingdings"/>
    </w:rPr>
  </w:style>
  <w:style w:type="paragraph" w:customStyle="1" w:styleId="TableHeading">
    <w:name w:val="Table Heading"/>
    <w:basedOn w:val="HeadingBase"/>
    <w:rsid w:val="00D56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A0D"/>
    <w:rPr>
      <w:color w:val="0033CC"/>
      <w:u w:val="none"/>
    </w:rPr>
  </w:style>
  <w:style w:type="paragraph" w:customStyle="1" w:styleId="BodyTextRight">
    <w:name w:val="Body Text Right"/>
    <w:basedOn w:val="BodyText"/>
    <w:rsid w:val="00D56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A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A0D"/>
    <w:rPr>
      <w:sz w:val="32"/>
    </w:rPr>
  </w:style>
  <w:style w:type="paragraph" w:customStyle="1" w:styleId="HeadingProcedure">
    <w:name w:val="Heading Procedure"/>
    <w:basedOn w:val="HeadingBase"/>
    <w:next w:val="Normal"/>
    <w:rsid w:val="00D56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A0D"/>
    <w:pPr>
      <w:spacing w:before="60" w:after="60"/>
    </w:pPr>
  </w:style>
  <w:style w:type="paragraph" w:styleId="ListContinue">
    <w:name w:val="List Continue"/>
    <w:basedOn w:val="List"/>
    <w:rsid w:val="00D56A0D"/>
    <w:pPr>
      <w:ind w:firstLine="0"/>
    </w:pPr>
  </w:style>
  <w:style w:type="paragraph" w:customStyle="1" w:styleId="ListNote">
    <w:name w:val="List Note"/>
    <w:basedOn w:val="List"/>
    <w:rsid w:val="00D56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A0D"/>
    <w:rPr>
      <w:rFonts w:ascii="Courier New" w:hAnsi="Courier New"/>
    </w:rPr>
  </w:style>
  <w:style w:type="paragraph" w:customStyle="1" w:styleId="NoteBullet">
    <w:name w:val="Note Bullet"/>
    <w:basedOn w:val="Note"/>
    <w:rsid w:val="00D56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A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6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A0D"/>
    <w:rPr>
      <w:b/>
      <w:smallCaps/>
    </w:rPr>
  </w:style>
  <w:style w:type="paragraph" w:customStyle="1" w:styleId="TableListNumber">
    <w:name w:val="Table List Number"/>
    <w:basedOn w:val="ListNumber"/>
    <w:rsid w:val="00D56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A0D"/>
    <w:pPr>
      <w:numPr>
        <w:numId w:val="10"/>
      </w:numPr>
    </w:pPr>
  </w:style>
  <w:style w:type="paragraph" w:customStyle="1" w:styleId="ListAlpha2">
    <w:name w:val="List Alpha 2"/>
    <w:basedOn w:val="List2"/>
    <w:rsid w:val="00D56A0D"/>
    <w:pPr>
      <w:numPr>
        <w:numId w:val="9"/>
      </w:numPr>
    </w:pPr>
  </w:style>
  <w:style w:type="paragraph" w:styleId="List2">
    <w:name w:val="List 2"/>
    <w:basedOn w:val="BodyText"/>
    <w:rsid w:val="00D56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A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56A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56A0D"/>
    <w:pPr>
      <w:numPr>
        <w:numId w:val="5"/>
      </w:numPr>
    </w:pPr>
  </w:style>
  <w:style w:type="paragraph" w:styleId="ListContinue2">
    <w:name w:val="List Continue 2"/>
    <w:basedOn w:val="List2"/>
    <w:rsid w:val="00D56A0D"/>
    <w:pPr>
      <w:ind w:firstLine="0"/>
    </w:pPr>
  </w:style>
  <w:style w:type="paragraph" w:styleId="ListContinue3">
    <w:name w:val="List Continue 3"/>
    <w:basedOn w:val="List3"/>
    <w:rsid w:val="00D56A0D"/>
    <w:pPr>
      <w:ind w:left="1021" w:firstLine="0"/>
    </w:pPr>
  </w:style>
  <w:style w:type="paragraph" w:styleId="ListContinue4">
    <w:name w:val="List Continue 4"/>
    <w:basedOn w:val="List4"/>
    <w:rsid w:val="00D56A0D"/>
    <w:pPr>
      <w:ind w:firstLine="0"/>
    </w:pPr>
  </w:style>
  <w:style w:type="paragraph" w:styleId="ListContinue5">
    <w:name w:val="List Continue 5"/>
    <w:basedOn w:val="List5"/>
    <w:rsid w:val="00D56A0D"/>
    <w:pPr>
      <w:ind w:firstLine="0"/>
    </w:pPr>
  </w:style>
  <w:style w:type="paragraph" w:styleId="ListNumber3">
    <w:name w:val="List Number 3"/>
    <w:basedOn w:val="List3"/>
    <w:rsid w:val="00D56A0D"/>
    <w:pPr>
      <w:numPr>
        <w:numId w:val="6"/>
      </w:numPr>
    </w:pPr>
  </w:style>
  <w:style w:type="paragraph" w:styleId="ListNumber4">
    <w:name w:val="List Number 4"/>
    <w:basedOn w:val="List4"/>
    <w:rsid w:val="00D56A0D"/>
    <w:pPr>
      <w:numPr>
        <w:numId w:val="7"/>
      </w:numPr>
    </w:pPr>
  </w:style>
  <w:style w:type="paragraph" w:styleId="ListNumber5">
    <w:name w:val="List Number 5"/>
    <w:basedOn w:val="List5"/>
    <w:rsid w:val="00D56A0D"/>
    <w:pPr>
      <w:numPr>
        <w:numId w:val="8"/>
      </w:numPr>
    </w:pPr>
  </w:style>
  <w:style w:type="paragraph" w:styleId="BlockText">
    <w:name w:val="Block Text"/>
    <w:basedOn w:val="Normal"/>
    <w:rsid w:val="00D56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A0D"/>
    <w:rPr>
      <w:sz w:val="16"/>
      <w:vertAlign w:val="superscript"/>
    </w:rPr>
  </w:style>
  <w:style w:type="character" w:customStyle="1" w:styleId="Symbols">
    <w:name w:val="Symbols"/>
    <w:basedOn w:val="DefaultParagraphFont"/>
    <w:rsid w:val="00D56A0D"/>
    <w:rPr>
      <w:rFonts w:ascii="Symbol" w:hAnsi="Symbol"/>
    </w:rPr>
  </w:style>
  <w:style w:type="character" w:customStyle="1" w:styleId="MenuOptions">
    <w:name w:val="Menu Options"/>
    <w:basedOn w:val="DefaultParagraphFont"/>
    <w:rsid w:val="00D56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A0D"/>
    <w:rPr>
      <w:b/>
    </w:rPr>
  </w:style>
  <w:style w:type="character" w:customStyle="1" w:styleId="Underlined">
    <w:name w:val="Underlined"/>
    <w:basedOn w:val="DefaultParagraphFont"/>
    <w:rsid w:val="00D56A0D"/>
    <w:rPr>
      <w:u w:val="single"/>
    </w:rPr>
  </w:style>
  <w:style w:type="paragraph" w:customStyle="1" w:styleId="TableBodyTextRight">
    <w:name w:val="Table Body Text Right"/>
    <w:basedOn w:val="TableBodyText"/>
    <w:rsid w:val="00D56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A0D"/>
    <w:rPr>
      <w:sz w:val="18"/>
    </w:rPr>
  </w:style>
  <w:style w:type="paragraph" w:customStyle="1" w:styleId="BodySmallRight">
    <w:name w:val="Body Small Right"/>
    <w:basedOn w:val="BodyTextRight"/>
    <w:rsid w:val="00D56A0D"/>
    <w:rPr>
      <w:sz w:val="18"/>
      <w:szCs w:val="18"/>
    </w:rPr>
  </w:style>
  <w:style w:type="paragraph" w:customStyle="1" w:styleId="MarginEdition">
    <w:name w:val="Margin Edition"/>
    <w:basedOn w:val="MarginNote"/>
    <w:rsid w:val="00D56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A0D"/>
    <w:rPr>
      <w:sz w:val="2"/>
      <w:szCs w:val="2"/>
    </w:rPr>
  </w:style>
  <w:style w:type="character" w:customStyle="1" w:styleId="Small">
    <w:name w:val="Small"/>
    <w:basedOn w:val="DefaultParagraphFont"/>
    <w:rsid w:val="00D56A0D"/>
    <w:rPr>
      <w:sz w:val="16"/>
    </w:rPr>
  </w:style>
  <w:style w:type="paragraph" w:customStyle="1" w:styleId="WideTable">
    <w:name w:val="Wide Table"/>
    <w:basedOn w:val="Normal"/>
    <w:rsid w:val="00D56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A0D"/>
  </w:style>
  <w:style w:type="paragraph" w:styleId="Quote">
    <w:name w:val="Quote"/>
    <w:basedOn w:val="Heading1"/>
    <w:link w:val="QuoteChar"/>
    <w:qFormat/>
    <w:rsid w:val="00D56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A0D"/>
    <w:pPr>
      <w:pageBreakBefore/>
    </w:pPr>
  </w:style>
  <w:style w:type="paragraph" w:customStyle="1" w:styleId="Border">
    <w:name w:val="Border"/>
    <w:basedOn w:val="Normal"/>
    <w:qFormat/>
    <w:rsid w:val="00D56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A0D"/>
    <w:rPr>
      <w:u w:val="single"/>
    </w:rPr>
  </w:style>
  <w:style w:type="character" w:customStyle="1" w:styleId="BoldandItalics">
    <w:name w:val="Bold and Italics"/>
    <w:qFormat/>
    <w:rsid w:val="00D56A0D"/>
    <w:rPr>
      <w:b/>
      <w:i/>
      <w:u w:val="none"/>
    </w:rPr>
  </w:style>
  <w:style w:type="paragraph" w:styleId="BalloonText">
    <w:name w:val="Balloon Text"/>
    <w:basedOn w:val="Normal"/>
    <w:link w:val="BalloonTextChar"/>
    <w:rsid w:val="00D56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A0D"/>
    <w:pPr>
      <w:spacing w:before="0" w:after="0"/>
    </w:pPr>
  </w:style>
  <w:style w:type="paragraph" w:customStyle="1" w:styleId="BodyTextBold">
    <w:name w:val="Body Text Bold"/>
    <w:basedOn w:val="BodyText"/>
    <w:qFormat/>
    <w:rsid w:val="00D56A0D"/>
    <w:rPr>
      <w:b/>
    </w:rPr>
  </w:style>
  <w:style w:type="character" w:styleId="Hyperlink">
    <w:name w:val="Hyperlink"/>
    <w:basedOn w:val="DefaultParagraphFont"/>
    <w:uiPriority w:val="99"/>
    <w:unhideWhenUsed/>
    <w:rsid w:val="002E2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3651</Characters>
  <Application>Microsoft Office Word</Application>
  <DocSecurity>0</DocSecurity>
  <Lines>117</Lines>
  <Paragraphs>107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HLTAHA042 Assist with screening and management of nutritional risk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