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DF2" w:rsidP="004E2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HLTAHA039 Assist in the development of meals and menus to meet dietary and cultural requirements</w:t>
      </w:r>
      <w:r>
        <w:fldChar w:fldCharType="end"/>
      </w:r>
    </w:p>
    <w:p w:rsidR="004E2DF2" w:rsidP="004E2DF2">
      <w:pPr>
        <w:pStyle w:val="Version"/>
        <w:sectPr w:rsidSect="00756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F6F" w:rsidP="00756F6F">
      <w:pPr>
        <w:pStyle w:val="SuperHeading"/>
      </w:pPr>
      <w:r w:rsidRPr="00756F6F">
        <w:t>Assessment Requirements for HLTAHA039 Assist in the development of meals and menus to meet dietary and cultural requirements</w:t>
      </w:r>
    </w:p>
    <w:p w:rsidR="00000000" w:rsidRPr="00756F6F" w:rsidP="00756F6F">
      <w:pPr>
        <w:pStyle w:val="Heading1"/>
      </w:pPr>
      <w:bookmarkStart w:id="1" w:name="O_1224844"/>
      <w:bookmarkEnd w:id="1"/>
      <w:r w:rsidRPr="00756F6F">
        <w:t>Modification History</w:t>
      </w:r>
    </w:p>
    <w:p w:rsidR="00000000" w:rsidRPr="00756F6F" w:rsidP="004E2DF2">
      <w:pPr>
        <w:pStyle w:val="BodyText"/>
      </w:pPr>
      <w:r w:rsidRPr="00756F6F">
        <w:t>Not applicable.</w:t>
      </w:r>
    </w:p>
    <w:p w:rsidR="00000000" w:rsidRPr="00756F6F" w:rsidP="00756F6F">
      <w:pPr>
        <w:pStyle w:val="Heading1"/>
      </w:pPr>
      <w:bookmarkStart w:id="2" w:name="O_1224847"/>
      <w:bookmarkEnd w:id="2"/>
      <w:r w:rsidRPr="00756F6F">
        <w:t>Performance Evidence</w:t>
      </w:r>
    </w:p>
    <w:p w:rsidR="00000000" w:rsidRPr="00756F6F" w:rsidP="004E2DF2">
      <w:pPr>
        <w:pStyle w:val="BodyText"/>
      </w:pPr>
      <w:r w:rsidRPr="00756F6F">
        <w:t>Evidence of the ability to complete tasks outlined in elements and performance criteria of this unit in the context of the job role, and:</w:t>
      </w:r>
    </w:p>
    <w:p w:rsidR="00000000" w:rsidRPr="00756F6F" w:rsidP="00756F6F">
      <w:pPr>
        <w:pStyle w:val="ListBullet"/>
      </w:pPr>
      <w:r w:rsidRPr="00756F6F">
        <w:t>plan, develop and evaluate menus for three individual groups, one in simulation and two in the workplace, based on or</w:t>
      </w:r>
      <w:r w:rsidRPr="00756F6F">
        <w:t>ganisational food, nutrition and therapeutic diet guidelines or the Australian dietary guidelines for provision of food for individuals</w:t>
      </w:r>
    </w:p>
    <w:p w:rsidR="00000000" w:rsidRPr="00756F6F" w:rsidP="00756F6F">
      <w:pPr>
        <w:pStyle w:val="ListBullet"/>
      </w:pPr>
      <w:r w:rsidRPr="00756F6F">
        <w:t>plan and modify meals and menus for at least two people with specific cultural or religious food-related requirements in</w:t>
      </w:r>
      <w:r w:rsidRPr="00756F6F">
        <w:t xml:space="preserve"> simulation</w:t>
      </w:r>
    </w:p>
    <w:p w:rsidR="00000000" w:rsidRPr="00756F6F" w:rsidP="00756F6F">
      <w:pPr>
        <w:pStyle w:val="ListBullet"/>
      </w:pPr>
      <w:r w:rsidRPr="00756F6F">
        <w:t xml:space="preserve">perform the activities outlined in the performance criteria of this unit during a period of at least 120 hours of allied health assistance work. At least 60% of this work must be carried out in an allied health workplace. The remaining 40% may </w:t>
      </w:r>
      <w:r w:rsidRPr="00756F6F">
        <w:t>be carried out in a simulated environment, if an allied health workplace is unavailable.</w:t>
      </w:r>
    </w:p>
    <w:p w:rsidR="00000000" w:rsidRPr="00756F6F" w:rsidP="00756F6F">
      <w:pPr>
        <w:pStyle w:val="AllowPageBreak"/>
      </w:pPr>
    </w:p>
    <w:p w:rsidR="00000000" w:rsidRPr="00756F6F" w:rsidP="00756F6F">
      <w:pPr>
        <w:pStyle w:val="Heading1"/>
      </w:pPr>
      <w:bookmarkStart w:id="3" w:name="O_1224846"/>
      <w:bookmarkEnd w:id="3"/>
      <w:r w:rsidRPr="00756F6F">
        <w:t>Knowledge Evidence</w:t>
      </w:r>
    </w:p>
    <w:p w:rsidR="00000000" w:rsidRPr="00756F6F" w:rsidP="004E2DF2">
      <w:pPr>
        <w:pStyle w:val="BodyText"/>
      </w:pPr>
      <w:r w:rsidRPr="00756F6F">
        <w:t>Demonstrate the knowledge required to complete the tasks outlined in elements and performance criteria of this unit:</w:t>
      </w:r>
    </w:p>
    <w:p w:rsidR="00000000" w:rsidRPr="00756F6F" w:rsidP="00756F6F">
      <w:pPr>
        <w:pStyle w:val="ListBullet"/>
      </w:pPr>
      <w:r w:rsidRPr="00756F6F">
        <w:t>allied heal</w:t>
      </w:r>
      <w:r w:rsidRPr="00756F6F">
        <w:t>th core competencies:</w:t>
      </w:r>
    </w:p>
    <w:p w:rsidR="00000000" w:rsidRPr="00756F6F" w:rsidP="00756F6F">
      <w:pPr>
        <w:pStyle w:val="ListBullet2"/>
      </w:pPr>
      <w:r w:rsidRPr="00756F6F">
        <w:t>person-centred care</w:t>
      </w:r>
    </w:p>
    <w:p w:rsidR="00000000" w:rsidRPr="00756F6F" w:rsidP="00756F6F">
      <w:pPr>
        <w:pStyle w:val="ListBullet2"/>
      </w:pPr>
      <w:r w:rsidRPr="00756F6F">
        <w:t>individual therapy</w:t>
      </w:r>
    </w:p>
    <w:p w:rsidR="00000000" w:rsidRPr="00756F6F" w:rsidP="00756F6F">
      <w:pPr>
        <w:pStyle w:val="ListBullet2"/>
      </w:pPr>
      <w:r w:rsidRPr="00756F6F">
        <w:t>group therapy</w:t>
      </w:r>
    </w:p>
    <w:p w:rsidR="00000000" w:rsidRPr="00756F6F" w:rsidP="00756F6F">
      <w:pPr>
        <w:pStyle w:val="ListBullet2"/>
      </w:pPr>
      <w:r w:rsidRPr="00756F6F">
        <w:t>communication of information</w:t>
      </w:r>
    </w:p>
    <w:p w:rsidR="00000000" w:rsidRPr="00756F6F" w:rsidP="00756F6F">
      <w:pPr>
        <w:pStyle w:val="ListBullet2"/>
      </w:pPr>
      <w:r w:rsidRPr="00756F6F">
        <w:t>equipment and environment</w:t>
      </w:r>
    </w:p>
    <w:p w:rsidR="00000000" w:rsidRPr="00756F6F" w:rsidP="00756F6F">
      <w:pPr>
        <w:pStyle w:val="ListBullet"/>
      </w:pPr>
      <w:r w:rsidRPr="00756F6F">
        <w:t>processes for planning and evaluation of meals and menus based on:</w:t>
      </w:r>
    </w:p>
    <w:p w:rsidR="00000000" w:rsidRPr="00756F6F" w:rsidP="00756F6F">
      <w:pPr>
        <w:pStyle w:val="ListBullet2"/>
      </w:pPr>
      <w:r w:rsidRPr="00756F6F">
        <w:t>Australian dietary guidelines and other relevant guidelines across the lifespan</w:t>
      </w:r>
    </w:p>
    <w:p w:rsidR="00000000" w:rsidRPr="00756F6F" w:rsidP="00756F6F">
      <w:pPr>
        <w:pStyle w:val="ListBullet2"/>
      </w:pPr>
      <w:r w:rsidRPr="00756F6F">
        <w:t>relevant organisational food, nutrition and diet guidelines</w:t>
      </w:r>
    </w:p>
    <w:p w:rsidR="00000000" w:rsidRPr="00756F6F" w:rsidP="00756F6F">
      <w:pPr>
        <w:pStyle w:val="ListBullet2"/>
      </w:pPr>
      <w:r w:rsidRPr="00756F6F">
        <w:t>cooking methods and equipment requirements</w:t>
      </w:r>
    </w:p>
    <w:p w:rsidR="00000000" w:rsidRPr="00756F6F" w:rsidP="00756F6F">
      <w:pPr>
        <w:pStyle w:val="ListBullet2"/>
      </w:pPr>
      <w:r w:rsidRPr="00756F6F">
        <w:t>food preparation and food service systems</w:t>
      </w:r>
    </w:p>
    <w:p w:rsidR="00000000" w:rsidRPr="00756F6F" w:rsidP="00756F6F">
      <w:pPr>
        <w:pStyle w:val="ListBullet2"/>
      </w:pPr>
      <w:r w:rsidRPr="00756F6F">
        <w:t>principles of nutrition, diet t</w:t>
      </w:r>
      <w:r w:rsidRPr="00756F6F">
        <w:t>herapy, nutrition supplements and factors that place person at risk of malnutrition and inadequate hydration or food insecurity</w:t>
      </w:r>
    </w:p>
    <w:p w:rsidR="00000000" w:rsidRPr="00756F6F" w:rsidP="00756F6F">
      <w:pPr>
        <w:pStyle w:val="ListBullet2"/>
      </w:pPr>
      <w:r w:rsidRPr="00756F6F">
        <w:t>common fluid and food restrictions</w:t>
      </w:r>
    </w:p>
    <w:p w:rsidR="00000000" w:rsidRPr="00756F6F" w:rsidP="00756F6F">
      <w:pPr>
        <w:pStyle w:val="ListBullet2"/>
      </w:pPr>
      <w:r w:rsidRPr="00756F6F">
        <w:t>range of menus and menu items</w:t>
      </w:r>
    </w:p>
    <w:p w:rsidR="00000000" w:rsidRPr="00756F6F" w:rsidP="00756F6F">
      <w:pPr>
        <w:pStyle w:val="ListBullet2"/>
      </w:pPr>
      <w:r w:rsidRPr="00756F6F">
        <w:t>standardised recipes</w:t>
      </w:r>
    </w:p>
    <w:p w:rsidR="00000000" w:rsidRPr="00756F6F" w:rsidP="00756F6F">
      <w:pPr>
        <w:pStyle w:val="ListBullet2"/>
      </w:pPr>
      <w:r w:rsidRPr="00756F6F">
        <w:t>various cultural and religious requirement</w:t>
      </w:r>
      <w:r w:rsidRPr="00756F6F">
        <w:t>s in relation to food, relevant to the profile of the community served by the organisation including:</w:t>
      </w:r>
    </w:p>
    <w:p w:rsidR="00000000" w:rsidRPr="00756F6F" w:rsidP="00756F6F">
      <w:pPr>
        <w:pStyle w:val="ListBullet3"/>
      </w:pPr>
      <w:r w:rsidRPr="00756F6F">
        <w:t>Halal</w:t>
      </w:r>
    </w:p>
    <w:p w:rsidR="00000000" w:rsidRPr="00756F6F" w:rsidP="00756F6F">
      <w:pPr>
        <w:pStyle w:val="ListBullet3"/>
      </w:pPr>
      <w:r w:rsidRPr="00756F6F">
        <w:t>Kosher</w:t>
      </w:r>
    </w:p>
    <w:p w:rsidR="00000000" w:rsidRPr="00756F6F" w:rsidP="00756F6F">
      <w:pPr>
        <w:pStyle w:val="ListBullet3"/>
      </w:pPr>
      <w:r w:rsidRPr="00756F6F">
        <w:t>types of vegetarianism</w:t>
      </w:r>
    </w:p>
    <w:p w:rsidR="00000000" w:rsidRPr="00756F6F" w:rsidP="00756F6F">
      <w:pPr>
        <w:pStyle w:val="ListBullet3"/>
      </w:pPr>
      <w:r w:rsidRPr="00756F6F">
        <w:t>ovo-lacto</w:t>
      </w:r>
    </w:p>
    <w:p w:rsidR="00000000" w:rsidRPr="00756F6F" w:rsidP="00756F6F">
      <w:pPr>
        <w:pStyle w:val="ListBullet3"/>
      </w:pPr>
      <w:r w:rsidRPr="00756F6F">
        <w:t>lacto</w:t>
      </w:r>
    </w:p>
    <w:p w:rsidR="00000000" w:rsidRPr="00756F6F" w:rsidP="00756F6F">
      <w:pPr>
        <w:pStyle w:val="ListBullet3"/>
      </w:pPr>
      <w:r w:rsidRPr="00756F6F">
        <w:t>vegan</w:t>
      </w:r>
    </w:p>
    <w:p w:rsidR="00000000" w:rsidRPr="00756F6F" w:rsidP="00756F6F">
      <w:pPr>
        <w:pStyle w:val="ListBullet"/>
      </w:pPr>
      <w:r w:rsidRPr="00756F6F">
        <w:t>how to recognise malnutrition</w:t>
      </w:r>
    </w:p>
    <w:p w:rsidR="00000000" w:rsidRPr="00756F6F" w:rsidP="00756F6F">
      <w:pPr>
        <w:pStyle w:val="ListBullet"/>
      </w:pPr>
      <w:r w:rsidRPr="00756F6F">
        <w:t>organisational policies and procedures in relation to:</w:t>
      </w:r>
    </w:p>
    <w:p w:rsidR="00000000" w:rsidRPr="00756F6F" w:rsidP="00756F6F">
      <w:pPr>
        <w:pStyle w:val="ListBullet2"/>
      </w:pPr>
      <w:r w:rsidRPr="00756F6F">
        <w:t>confidentiality:</w:t>
      </w:r>
    </w:p>
    <w:p w:rsidR="00000000" w:rsidRPr="00756F6F" w:rsidP="00756F6F">
      <w:pPr>
        <w:pStyle w:val="ListBullet3"/>
      </w:pPr>
      <w:r w:rsidRPr="00756F6F">
        <w:t>privacy</w:t>
      </w:r>
    </w:p>
    <w:p w:rsidR="00000000" w:rsidRPr="00756F6F" w:rsidP="00756F6F">
      <w:pPr>
        <w:pStyle w:val="ListBullet3"/>
      </w:pPr>
      <w:r w:rsidRPr="00756F6F">
        <w:t>disclosure</w:t>
      </w:r>
    </w:p>
    <w:p w:rsidR="00000000" w:rsidRPr="00756F6F" w:rsidP="00756F6F">
      <w:pPr>
        <w:pStyle w:val="ListBullet2"/>
      </w:pPr>
      <w:r w:rsidRPr="00756F6F">
        <w:t>duty of care</w:t>
      </w:r>
    </w:p>
    <w:p w:rsidR="00000000" w:rsidRPr="00756F6F" w:rsidP="00756F6F">
      <w:pPr>
        <w:pStyle w:val="ListBullet2"/>
      </w:pPr>
      <w:r w:rsidRPr="00756F6F">
        <w:t>documentation:</w:t>
      </w:r>
    </w:p>
    <w:p w:rsidR="00000000" w:rsidRPr="00756F6F" w:rsidP="00756F6F">
      <w:pPr>
        <w:pStyle w:val="ListBullet3"/>
      </w:pPr>
      <w:r w:rsidRPr="00756F6F">
        <w:t>reporting</w:t>
      </w:r>
    </w:p>
    <w:p w:rsidR="00000000" w:rsidRPr="00756F6F" w:rsidP="00756F6F">
      <w:pPr>
        <w:pStyle w:val="ListBullet3"/>
      </w:pPr>
      <w:r w:rsidRPr="00756F6F">
        <w:t>recording data</w:t>
      </w:r>
    </w:p>
    <w:p w:rsidR="00000000" w:rsidRPr="00756F6F" w:rsidP="00756F6F">
      <w:pPr>
        <w:pStyle w:val="ListBullet3"/>
      </w:pPr>
      <w:r w:rsidRPr="00756F6F">
        <w:t>written communication to Allied Health Professional</w:t>
      </w:r>
    </w:p>
    <w:p w:rsidR="00000000" w:rsidRPr="00756F6F" w:rsidP="00756F6F">
      <w:pPr>
        <w:pStyle w:val="ListBullet2"/>
      </w:pPr>
      <w:r w:rsidRPr="00756F6F">
        <w:t>professional behaviour and presentation</w:t>
      </w:r>
    </w:p>
    <w:p w:rsidR="00000000" w:rsidRPr="00756F6F" w:rsidP="00756F6F">
      <w:pPr>
        <w:pStyle w:val="ListBullet2"/>
      </w:pPr>
      <w:r w:rsidRPr="00756F6F">
        <w:t>infection control practices food safety program as they relate to assisting with meals, menus and dietary guidelines</w:t>
      </w:r>
    </w:p>
    <w:p w:rsidR="00000000" w:rsidRPr="00756F6F" w:rsidP="00756F6F">
      <w:pPr>
        <w:pStyle w:val="ListBullet2"/>
      </w:pPr>
      <w:r w:rsidRPr="00756F6F">
        <w:t>work health and safety (WHS)</w:t>
      </w:r>
    </w:p>
    <w:p w:rsidR="00000000" w:rsidRPr="00756F6F" w:rsidP="00756F6F">
      <w:pPr>
        <w:pStyle w:val="ListBullet2"/>
      </w:pPr>
      <w:r w:rsidRPr="00756F6F">
        <w:t>manual handling</w:t>
      </w:r>
    </w:p>
    <w:p w:rsidR="00000000" w:rsidRPr="00756F6F" w:rsidP="00756F6F">
      <w:pPr>
        <w:pStyle w:val="ListBullet2"/>
      </w:pPr>
      <w:r w:rsidRPr="00756F6F">
        <w:t>supervision and delegation</w:t>
      </w:r>
    </w:p>
    <w:p w:rsidR="00000000" w:rsidRPr="00756F6F" w:rsidP="00756F6F">
      <w:pPr>
        <w:pStyle w:val="ListBullet"/>
      </w:pPr>
      <w:r w:rsidRPr="00756F6F">
        <w:t>principles of empowering the older person</w:t>
      </w:r>
    </w:p>
    <w:p w:rsidR="00000000" w:rsidRPr="00756F6F" w:rsidP="00756F6F">
      <w:pPr>
        <w:pStyle w:val="ListBullet"/>
      </w:pPr>
      <w:r w:rsidRPr="00756F6F">
        <w:t>principles of empowering people living with disability or serious mental illness</w:t>
      </w:r>
    </w:p>
    <w:p w:rsidR="00000000" w:rsidRPr="00756F6F" w:rsidP="00756F6F">
      <w:pPr>
        <w:pStyle w:val="ListBullet"/>
      </w:pPr>
      <w:r w:rsidRPr="00756F6F">
        <w:t>changes related to ageing</w:t>
      </w:r>
    </w:p>
    <w:p w:rsidR="00000000" w:rsidRPr="00756F6F" w:rsidP="00756F6F">
      <w:pPr>
        <w:pStyle w:val="ListBullet"/>
      </w:pPr>
      <w:r w:rsidRPr="00756F6F">
        <w:t>concepts of holistic health and wellbeing</w:t>
      </w:r>
    </w:p>
    <w:p w:rsidR="00000000" w:rsidRPr="00756F6F" w:rsidP="00756F6F">
      <w:pPr>
        <w:pStyle w:val="ListBullet"/>
      </w:pPr>
      <w:r w:rsidRPr="00756F6F">
        <w:t>social determinants of health</w:t>
      </w:r>
    </w:p>
    <w:p w:rsidR="00000000" w:rsidRPr="00756F6F" w:rsidP="00756F6F">
      <w:pPr>
        <w:pStyle w:val="ListBullet"/>
      </w:pPr>
      <w:r w:rsidRPr="00756F6F">
        <w:t>concepts of the medical model, the biopsychosocial models and the human right</w:t>
      </w:r>
      <w:r w:rsidRPr="00756F6F">
        <w:t>s-based approach of allied health interventions</w:t>
      </w:r>
    </w:p>
    <w:p w:rsidR="00000000" w:rsidRPr="00756F6F" w:rsidP="00756F6F">
      <w:pPr>
        <w:pStyle w:val="ListBullet"/>
      </w:pPr>
      <w:r w:rsidRPr="00756F6F">
        <w:t>principles of choice and control</w:t>
      </w:r>
    </w:p>
    <w:p w:rsidR="00000000" w:rsidRPr="00756F6F" w:rsidP="00756F6F">
      <w:pPr>
        <w:pStyle w:val="ListBullet"/>
      </w:pPr>
      <w:r w:rsidRPr="00756F6F">
        <w:t>concept of reablement</w:t>
      </w:r>
    </w:p>
    <w:p w:rsidR="00000000" w:rsidRPr="00756F6F" w:rsidP="00756F6F">
      <w:pPr>
        <w:pStyle w:val="ListBullet"/>
      </w:pPr>
      <w:r w:rsidRPr="00756F6F">
        <w:t>allied health settings:</w:t>
      </w:r>
    </w:p>
    <w:p w:rsidR="00000000" w:rsidRPr="00756F6F" w:rsidP="00756F6F">
      <w:pPr>
        <w:pStyle w:val="ListBullet2"/>
      </w:pPr>
      <w:r w:rsidRPr="00756F6F">
        <w:t>hospital</w:t>
      </w:r>
    </w:p>
    <w:p w:rsidR="00000000" w:rsidRPr="00756F6F" w:rsidP="00756F6F">
      <w:pPr>
        <w:pStyle w:val="ListBullet2"/>
      </w:pPr>
      <w:r w:rsidRPr="00756F6F">
        <w:t>community health</w:t>
      </w:r>
    </w:p>
    <w:p w:rsidR="00000000" w:rsidRPr="00756F6F" w:rsidP="00756F6F">
      <w:pPr>
        <w:pStyle w:val="ListBullet2"/>
      </w:pPr>
      <w:r w:rsidRPr="00756F6F">
        <w:t>mental health</w:t>
      </w:r>
    </w:p>
    <w:p w:rsidR="00000000" w:rsidRPr="00756F6F" w:rsidP="00756F6F">
      <w:pPr>
        <w:pStyle w:val="ListBullet2"/>
      </w:pPr>
      <w:r w:rsidRPr="00756F6F">
        <w:t>disability sector</w:t>
      </w:r>
    </w:p>
    <w:p w:rsidR="00000000" w:rsidRPr="00756F6F" w:rsidP="00756F6F">
      <w:pPr>
        <w:pStyle w:val="ListBullet2"/>
      </w:pPr>
      <w:r w:rsidRPr="00756F6F">
        <w:t>aged care sectors.</w:t>
      </w:r>
    </w:p>
    <w:p w:rsidR="00000000" w:rsidRPr="00756F6F" w:rsidP="00756F6F">
      <w:pPr>
        <w:pStyle w:val="AllowPageBreak"/>
      </w:pPr>
    </w:p>
    <w:p w:rsidR="00000000" w:rsidRPr="00756F6F" w:rsidP="00756F6F">
      <w:pPr>
        <w:pStyle w:val="Heading1"/>
      </w:pPr>
      <w:bookmarkStart w:id="4" w:name="O_1224845"/>
      <w:bookmarkEnd w:id="4"/>
      <w:r w:rsidRPr="00756F6F">
        <w:t>Assessment Conditions</w:t>
      </w:r>
    </w:p>
    <w:p w:rsidR="00000000" w:rsidRPr="00756F6F" w:rsidP="004E2DF2">
      <w:pPr>
        <w:pStyle w:val="BodyText"/>
      </w:pPr>
      <w:r w:rsidRPr="00756F6F">
        <w:t>Skills may be demonstrated in the workplace, or in a simulated environment, as per the conditions outlined in the performance evidence.</w:t>
      </w:r>
    </w:p>
    <w:p w:rsidR="00000000" w:rsidRPr="00756F6F" w:rsidP="004E2DF2">
      <w:pPr>
        <w:pStyle w:val="BodyText"/>
      </w:pPr>
      <w:r w:rsidRPr="00756F6F">
        <w:t>Assessment must ensure access to use of suitable facilities and resources, including:</w:t>
      </w:r>
    </w:p>
    <w:p w:rsidR="00000000" w:rsidRPr="00756F6F" w:rsidP="00756F6F">
      <w:pPr>
        <w:pStyle w:val="ListBullet"/>
      </w:pPr>
      <w:r w:rsidRPr="00756F6F">
        <w:t>food safety standards and procedu</w:t>
      </w:r>
      <w:r w:rsidRPr="00756F6F">
        <w:t>res</w:t>
      </w:r>
    </w:p>
    <w:p w:rsidR="00000000" w:rsidRPr="00756F6F" w:rsidP="00756F6F">
      <w:pPr>
        <w:pStyle w:val="ListBullet"/>
      </w:pPr>
      <w:r w:rsidRPr="00756F6F">
        <w:t>food packaging and storage requirements</w:t>
      </w:r>
    </w:p>
    <w:p w:rsidR="00000000" w:rsidRPr="00756F6F" w:rsidP="00756F6F">
      <w:pPr>
        <w:pStyle w:val="ListBullet"/>
      </w:pPr>
      <w:r w:rsidRPr="00756F6F">
        <w:t>work plan</w:t>
      </w:r>
    </w:p>
    <w:p w:rsidR="00000000" w:rsidRPr="00756F6F" w:rsidP="00756F6F">
      <w:pPr>
        <w:pStyle w:val="ListBullet"/>
      </w:pPr>
      <w:r w:rsidRPr="00756F6F">
        <w:t>menu planning tools</w:t>
      </w:r>
    </w:p>
    <w:p w:rsidR="00000000" w:rsidRPr="00756F6F" w:rsidP="00756F6F">
      <w:pPr>
        <w:pStyle w:val="ListBullet"/>
      </w:pPr>
      <w:r w:rsidRPr="00756F6F">
        <w:t>individualised plans.</w:t>
      </w:r>
    </w:p>
    <w:p w:rsidR="00000000" w:rsidRPr="00756F6F" w:rsidP="004E2DF2">
      <w:pPr>
        <w:pStyle w:val="BodyText"/>
      </w:pPr>
      <w:r w:rsidRPr="00756F6F">
        <w:t>Assessors must satisfy the Standards for Registered Training Organisations requirements for assessors, and:</w:t>
      </w:r>
    </w:p>
    <w:p w:rsidR="00000000" w:rsidRPr="00756F6F" w:rsidP="00756F6F">
      <w:pPr>
        <w:pStyle w:val="ListBullet"/>
      </w:pPr>
      <w:r w:rsidRPr="00756F6F">
        <w:t>be a Certificate IV qualified Allied Health Assista</w:t>
      </w:r>
      <w:r w:rsidRPr="00756F6F">
        <w:t>nt with a minimum of three years of professional experience in allied health services; or</w:t>
      </w:r>
    </w:p>
    <w:p w:rsidR="00000000" w:rsidRPr="00756F6F" w:rsidP="00756F6F">
      <w:pPr>
        <w:pStyle w:val="ListBullet"/>
      </w:pPr>
      <w:r w:rsidRPr="00756F6F">
        <w:t>an Accredited Practising Dietitian (APD).</w:t>
      </w:r>
    </w:p>
    <w:p w:rsidR="00000000" w:rsidRPr="00756F6F" w:rsidP="00756F6F">
      <w:pPr>
        <w:pStyle w:val="AllowPageBreak"/>
      </w:pPr>
    </w:p>
    <w:p w:rsidR="00000000" w:rsidRPr="00756F6F" w:rsidP="00756F6F">
      <w:pPr>
        <w:pStyle w:val="Heading1"/>
      </w:pPr>
      <w:bookmarkStart w:id="5" w:name="O_1224843"/>
      <w:bookmarkEnd w:id="5"/>
      <w:r w:rsidRPr="00756F6F">
        <w:t>Links</w:t>
      </w:r>
    </w:p>
    <w:p w:rsidR="00000000" w:rsidRPr="00756F6F" w:rsidP="004E2DF2">
      <w:pPr>
        <w:pStyle w:val="BodyText"/>
      </w:pPr>
      <w:r w:rsidRPr="00756F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66C7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56F6F" w:rsidP="00756F6F"/>
    <w:sectPr w:rsidSect="00756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F6F" w:rsidRPr="004E2DF2" w:rsidP="004E2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F2" w:rsidP="00756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DF2" w:rsidP="00756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2DF2" w:rsidP="00756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F6F" w:rsidRPr="004E2DF2" w:rsidP="004E2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F2" w:rsidRPr="002D2AF8" w:rsidP="00756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HLTAHA039 Assist in the development of meals and menus to meet dietary and cultural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E2DF2" w:rsidP="00756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C89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C9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23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F6F"/>
  </w:style>
  <w:style w:type="character" w:customStyle="1" w:styleId="Heading1Char">
    <w:name w:val="Heading 1 Char"/>
    <w:basedOn w:val="DefaultParagraphFont"/>
    <w:link w:val="Heading1"/>
    <w:rsid w:val="00756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F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F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6F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6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F6F"/>
    <w:rPr>
      <w:b/>
      <w:spacing w:val="0"/>
    </w:rPr>
  </w:style>
  <w:style w:type="paragraph" w:customStyle="1" w:styleId="SuperTitle">
    <w:name w:val="SuperTitle"/>
    <w:basedOn w:val="Title"/>
    <w:rsid w:val="00756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F6F"/>
    <w:rPr>
      <w:i/>
    </w:rPr>
  </w:style>
  <w:style w:type="paragraph" w:styleId="Caption">
    <w:name w:val="caption"/>
    <w:basedOn w:val="BodyText"/>
    <w:next w:val="Normal"/>
    <w:qFormat/>
    <w:rsid w:val="00756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F6F"/>
  </w:style>
  <w:style w:type="paragraph" w:styleId="TableofFigures">
    <w:name w:val="table of figures"/>
    <w:basedOn w:val="Normal"/>
    <w:next w:val="Normal"/>
    <w:semiHidden/>
    <w:rsid w:val="00756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F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6F6F"/>
    <w:rPr>
      <w:rFonts w:ascii="Wingdings" w:hAnsi="Wingdings"/>
    </w:rPr>
  </w:style>
  <w:style w:type="paragraph" w:customStyle="1" w:styleId="TableHeading">
    <w:name w:val="Table Heading"/>
    <w:basedOn w:val="HeadingBase"/>
    <w:rsid w:val="00756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F6F"/>
    <w:rPr>
      <w:color w:val="0033CC"/>
      <w:u w:val="none"/>
    </w:rPr>
  </w:style>
  <w:style w:type="paragraph" w:customStyle="1" w:styleId="BodyTextRight">
    <w:name w:val="Body Text Right"/>
    <w:basedOn w:val="BodyText"/>
    <w:rsid w:val="00756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F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F6F"/>
    <w:rPr>
      <w:sz w:val="32"/>
    </w:rPr>
  </w:style>
  <w:style w:type="paragraph" w:customStyle="1" w:styleId="HeadingProcedure">
    <w:name w:val="Heading Procedure"/>
    <w:basedOn w:val="HeadingBase"/>
    <w:next w:val="Normal"/>
    <w:rsid w:val="00756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F6F"/>
    <w:pPr>
      <w:spacing w:before="60" w:after="60"/>
    </w:pPr>
  </w:style>
  <w:style w:type="paragraph" w:styleId="ListContinue">
    <w:name w:val="List Continue"/>
    <w:basedOn w:val="List"/>
    <w:rsid w:val="00756F6F"/>
    <w:pPr>
      <w:ind w:firstLine="0"/>
    </w:pPr>
  </w:style>
  <w:style w:type="paragraph" w:customStyle="1" w:styleId="ListNote">
    <w:name w:val="List Note"/>
    <w:basedOn w:val="List"/>
    <w:rsid w:val="00756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F6F"/>
    <w:rPr>
      <w:rFonts w:ascii="Courier New" w:hAnsi="Courier New"/>
    </w:rPr>
  </w:style>
  <w:style w:type="paragraph" w:customStyle="1" w:styleId="NoteBullet">
    <w:name w:val="Note Bullet"/>
    <w:basedOn w:val="Note"/>
    <w:rsid w:val="00756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F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6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F6F"/>
    <w:rPr>
      <w:b/>
      <w:smallCaps/>
    </w:rPr>
  </w:style>
  <w:style w:type="paragraph" w:customStyle="1" w:styleId="TableListNumber">
    <w:name w:val="Table List Number"/>
    <w:basedOn w:val="ListNumber"/>
    <w:rsid w:val="00756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F6F"/>
    <w:pPr>
      <w:numPr>
        <w:numId w:val="10"/>
      </w:numPr>
    </w:pPr>
  </w:style>
  <w:style w:type="paragraph" w:customStyle="1" w:styleId="ListAlpha2">
    <w:name w:val="List Alpha 2"/>
    <w:basedOn w:val="List2"/>
    <w:rsid w:val="00756F6F"/>
    <w:pPr>
      <w:numPr>
        <w:numId w:val="9"/>
      </w:numPr>
    </w:pPr>
  </w:style>
  <w:style w:type="paragraph" w:styleId="List2">
    <w:name w:val="List 2"/>
    <w:basedOn w:val="BodyText"/>
    <w:rsid w:val="00756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F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6F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6F6F"/>
    <w:pPr>
      <w:numPr>
        <w:numId w:val="5"/>
      </w:numPr>
    </w:pPr>
  </w:style>
  <w:style w:type="paragraph" w:styleId="ListContinue2">
    <w:name w:val="List Continue 2"/>
    <w:basedOn w:val="List2"/>
    <w:rsid w:val="00756F6F"/>
    <w:pPr>
      <w:ind w:firstLine="0"/>
    </w:pPr>
  </w:style>
  <w:style w:type="paragraph" w:styleId="ListContinue3">
    <w:name w:val="List Continue 3"/>
    <w:basedOn w:val="List3"/>
    <w:rsid w:val="00756F6F"/>
    <w:pPr>
      <w:ind w:left="1021" w:firstLine="0"/>
    </w:pPr>
  </w:style>
  <w:style w:type="paragraph" w:styleId="ListContinue4">
    <w:name w:val="List Continue 4"/>
    <w:basedOn w:val="List4"/>
    <w:rsid w:val="00756F6F"/>
    <w:pPr>
      <w:ind w:firstLine="0"/>
    </w:pPr>
  </w:style>
  <w:style w:type="paragraph" w:styleId="ListContinue5">
    <w:name w:val="List Continue 5"/>
    <w:basedOn w:val="List5"/>
    <w:rsid w:val="00756F6F"/>
    <w:pPr>
      <w:ind w:firstLine="0"/>
    </w:pPr>
  </w:style>
  <w:style w:type="paragraph" w:styleId="ListNumber3">
    <w:name w:val="List Number 3"/>
    <w:basedOn w:val="List3"/>
    <w:rsid w:val="00756F6F"/>
    <w:pPr>
      <w:numPr>
        <w:numId w:val="6"/>
      </w:numPr>
    </w:pPr>
  </w:style>
  <w:style w:type="paragraph" w:styleId="ListNumber4">
    <w:name w:val="List Number 4"/>
    <w:basedOn w:val="List4"/>
    <w:rsid w:val="00756F6F"/>
    <w:pPr>
      <w:numPr>
        <w:numId w:val="7"/>
      </w:numPr>
    </w:pPr>
  </w:style>
  <w:style w:type="paragraph" w:styleId="ListNumber5">
    <w:name w:val="List Number 5"/>
    <w:basedOn w:val="List5"/>
    <w:rsid w:val="00756F6F"/>
    <w:pPr>
      <w:numPr>
        <w:numId w:val="8"/>
      </w:numPr>
    </w:pPr>
  </w:style>
  <w:style w:type="paragraph" w:styleId="BlockText">
    <w:name w:val="Block Text"/>
    <w:basedOn w:val="Normal"/>
    <w:rsid w:val="00756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F6F"/>
    <w:rPr>
      <w:sz w:val="16"/>
      <w:vertAlign w:val="superscript"/>
    </w:rPr>
  </w:style>
  <w:style w:type="character" w:customStyle="1" w:styleId="Symbols">
    <w:name w:val="Symbols"/>
    <w:basedOn w:val="DefaultParagraphFont"/>
    <w:rsid w:val="00756F6F"/>
    <w:rPr>
      <w:rFonts w:ascii="Symbol" w:hAnsi="Symbol"/>
    </w:rPr>
  </w:style>
  <w:style w:type="character" w:customStyle="1" w:styleId="MenuOptions">
    <w:name w:val="Menu Options"/>
    <w:basedOn w:val="DefaultParagraphFont"/>
    <w:rsid w:val="00756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F6F"/>
    <w:rPr>
      <w:b/>
    </w:rPr>
  </w:style>
  <w:style w:type="character" w:customStyle="1" w:styleId="Underlined">
    <w:name w:val="Underlined"/>
    <w:basedOn w:val="DefaultParagraphFont"/>
    <w:rsid w:val="00756F6F"/>
    <w:rPr>
      <w:u w:val="single"/>
    </w:rPr>
  </w:style>
  <w:style w:type="paragraph" w:customStyle="1" w:styleId="TableBodyTextRight">
    <w:name w:val="Table Body Text Right"/>
    <w:basedOn w:val="TableBodyText"/>
    <w:rsid w:val="00756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F6F"/>
    <w:rPr>
      <w:sz w:val="18"/>
    </w:rPr>
  </w:style>
  <w:style w:type="paragraph" w:customStyle="1" w:styleId="BodySmallRight">
    <w:name w:val="Body Small Right"/>
    <w:basedOn w:val="BodyTextRight"/>
    <w:rsid w:val="00756F6F"/>
    <w:rPr>
      <w:sz w:val="18"/>
      <w:szCs w:val="18"/>
    </w:rPr>
  </w:style>
  <w:style w:type="paragraph" w:customStyle="1" w:styleId="MarginEdition">
    <w:name w:val="Margin Edition"/>
    <w:basedOn w:val="MarginNote"/>
    <w:rsid w:val="00756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F6F"/>
    <w:rPr>
      <w:sz w:val="2"/>
      <w:szCs w:val="2"/>
    </w:rPr>
  </w:style>
  <w:style w:type="character" w:customStyle="1" w:styleId="Small">
    <w:name w:val="Small"/>
    <w:basedOn w:val="DefaultParagraphFont"/>
    <w:rsid w:val="00756F6F"/>
    <w:rPr>
      <w:sz w:val="16"/>
    </w:rPr>
  </w:style>
  <w:style w:type="paragraph" w:customStyle="1" w:styleId="WideTable">
    <w:name w:val="Wide Table"/>
    <w:basedOn w:val="Normal"/>
    <w:rsid w:val="00756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F6F"/>
  </w:style>
  <w:style w:type="paragraph" w:styleId="Quote">
    <w:name w:val="Quote"/>
    <w:basedOn w:val="Heading1"/>
    <w:link w:val="QuoteChar"/>
    <w:qFormat/>
    <w:rsid w:val="00756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F6F"/>
    <w:pPr>
      <w:pageBreakBefore/>
    </w:pPr>
  </w:style>
  <w:style w:type="paragraph" w:customStyle="1" w:styleId="Border">
    <w:name w:val="Border"/>
    <w:basedOn w:val="Normal"/>
    <w:qFormat/>
    <w:rsid w:val="00756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F6F"/>
    <w:rPr>
      <w:u w:val="single"/>
    </w:rPr>
  </w:style>
  <w:style w:type="character" w:customStyle="1" w:styleId="BoldandItalics">
    <w:name w:val="Bold and Italics"/>
    <w:qFormat/>
    <w:rsid w:val="00756F6F"/>
    <w:rPr>
      <w:b/>
      <w:i/>
      <w:u w:val="none"/>
    </w:rPr>
  </w:style>
  <w:style w:type="paragraph" w:styleId="BalloonText">
    <w:name w:val="Balloon Text"/>
    <w:basedOn w:val="Normal"/>
    <w:link w:val="BalloonTextChar"/>
    <w:rsid w:val="00756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F6F"/>
    <w:pPr>
      <w:spacing w:before="0" w:after="0"/>
    </w:pPr>
  </w:style>
  <w:style w:type="paragraph" w:customStyle="1" w:styleId="BodyTextBold">
    <w:name w:val="Body Text Bold"/>
    <w:basedOn w:val="BodyText"/>
    <w:qFormat/>
    <w:rsid w:val="00756F6F"/>
    <w:rPr>
      <w:b/>
    </w:rPr>
  </w:style>
  <w:style w:type="character" w:styleId="Hyperlink">
    <w:name w:val="Hyperlink"/>
    <w:basedOn w:val="DefaultParagraphFont"/>
    <w:uiPriority w:val="99"/>
    <w:unhideWhenUsed/>
    <w:rsid w:val="004E2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3572</Characters>
  <Application>Microsoft Office Word</Application>
  <DocSecurity>0</DocSecurity>
  <Lines>105</Lines>
  <Paragraphs>89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HLTAHA039 Assist in the development of meals and menus to meet dietary and cultural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