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11" w:rsidP="00991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HLTAHA035 Provide support in dysphagia management</w:t>
      </w:r>
      <w:r>
        <w:fldChar w:fldCharType="end"/>
      </w:r>
    </w:p>
    <w:p w:rsidR="00991E11" w:rsidP="00991E11">
      <w:pPr>
        <w:pStyle w:val="Version"/>
        <w:sectPr w:rsidSect="00531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846" w:rsidP="00531846">
      <w:pPr>
        <w:pStyle w:val="SuperHeading"/>
      </w:pPr>
      <w:r w:rsidRPr="00531846">
        <w:t>Assessment Requirements for HLTAHA035 Provide support in dysphagia management</w:t>
      </w:r>
    </w:p>
    <w:p w:rsidR="00000000" w:rsidRPr="00531846" w:rsidP="00531846">
      <w:pPr>
        <w:pStyle w:val="Heading1"/>
      </w:pPr>
      <w:bookmarkStart w:id="1" w:name="O_1224784"/>
      <w:bookmarkEnd w:id="1"/>
      <w:r w:rsidRPr="00531846">
        <w:t>Modification History</w:t>
      </w:r>
    </w:p>
    <w:p w:rsidR="00000000" w:rsidRPr="00531846" w:rsidP="00991E11">
      <w:pPr>
        <w:pStyle w:val="BodyText"/>
      </w:pPr>
      <w:r w:rsidRPr="00531846">
        <w:t>Not applicable.</w:t>
      </w:r>
    </w:p>
    <w:p w:rsidR="00000000" w:rsidRPr="00531846" w:rsidP="00531846">
      <w:pPr>
        <w:pStyle w:val="Heading1"/>
      </w:pPr>
      <w:bookmarkStart w:id="2" w:name="O_1224787"/>
      <w:bookmarkEnd w:id="2"/>
      <w:r w:rsidRPr="00531846">
        <w:t>Performance Evidence</w:t>
      </w:r>
    </w:p>
    <w:p w:rsidR="00000000" w:rsidRPr="00531846" w:rsidP="00991E11">
      <w:pPr>
        <w:pStyle w:val="BodyText"/>
      </w:pPr>
      <w:r w:rsidRPr="00531846">
        <w:t>Evidence of the ability to compl</w:t>
      </w:r>
      <w:r w:rsidRPr="00531846">
        <w:t>ete tasks outlined in elements and performance criteria of this unit in the context of the job role, and:</w:t>
      </w:r>
    </w:p>
    <w:p w:rsidR="00000000" w:rsidRPr="00531846" w:rsidP="00531846">
      <w:pPr>
        <w:pStyle w:val="ListBullet"/>
      </w:pPr>
      <w:r w:rsidRPr="00531846">
        <w:t>deliver therapeutic support and skill development for three people with dysphagia, one in simulation and two in the workplace</w:t>
      </w:r>
    </w:p>
    <w:p w:rsidR="00000000" w:rsidRPr="00531846" w:rsidP="00531846">
      <w:pPr>
        <w:pStyle w:val="ListBullet"/>
      </w:pPr>
      <w:r w:rsidRPr="00531846">
        <w:t xml:space="preserve">perform the activities </w:t>
      </w:r>
      <w:r w:rsidRPr="00531846">
        <w:t>outlined in the performance criteria of this unit during a period of at least 120 hours of allied health assistance work. At least 60% of this work must be carried out in an allied health workplace. The remaining 40% may be carried out in a simulated envir</w:t>
      </w:r>
      <w:r w:rsidRPr="00531846">
        <w:t>onment, if an allied health workplace is unavailable.</w:t>
      </w:r>
    </w:p>
    <w:p w:rsidR="00000000" w:rsidRPr="00531846" w:rsidP="00531846">
      <w:pPr>
        <w:pStyle w:val="AllowPageBreak"/>
      </w:pPr>
    </w:p>
    <w:p w:rsidR="00000000" w:rsidRPr="00531846" w:rsidP="00531846">
      <w:pPr>
        <w:pStyle w:val="Heading1"/>
      </w:pPr>
      <w:bookmarkStart w:id="3" w:name="O_1224786"/>
      <w:bookmarkEnd w:id="3"/>
      <w:r w:rsidRPr="00531846">
        <w:t>Knowledge Evidence</w:t>
      </w:r>
    </w:p>
    <w:p w:rsidR="00000000" w:rsidRPr="00531846" w:rsidP="00991E11">
      <w:pPr>
        <w:pStyle w:val="BodyText"/>
      </w:pPr>
      <w:r w:rsidRPr="00531846">
        <w:t>Demonstrate the knowledge required to complete the tasks outlined in elements and performance criteria of this unit:</w:t>
      </w:r>
    </w:p>
    <w:p w:rsidR="00000000" w:rsidRPr="00531846" w:rsidP="00531846">
      <w:pPr>
        <w:pStyle w:val="ListBullet"/>
      </w:pPr>
      <w:r w:rsidRPr="00531846">
        <w:t>protocols for escalation of risks</w:t>
      </w:r>
    </w:p>
    <w:p w:rsidR="00000000" w:rsidRPr="00531846" w:rsidP="00531846">
      <w:pPr>
        <w:pStyle w:val="ListBullet"/>
      </w:pPr>
      <w:r w:rsidRPr="00531846">
        <w:t>allied healt</w:t>
      </w:r>
      <w:r w:rsidRPr="00531846">
        <w:t>h core competencies:</w:t>
      </w:r>
    </w:p>
    <w:p w:rsidR="00000000" w:rsidRPr="00531846" w:rsidP="00531846">
      <w:pPr>
        <w:pStyle w:val="ListBullet2"/>
      </w:pPr>
      <w:r w:rsidRPr="00531846">
        <w:t>person-centred care</w:t>
      </w:r>
    </w:p>
    <w:p w:rsidR="00000000" w:rsidRPr="00531846" w:rsidP="00531846">
      <w:pPr>
        <w:pStyle w:val="ListBullet2"/>
      </w:pPr>
      <w:r w:rsidRPr="00531846">
        <w:t>individual therapy</w:t>
      </w:r>
    </w:p>
    <w:p w:rsidR="00000000" w:rsidRPr="00531846" w:rsidP="00531846">
      <w:pPr>
        <w:pStyle w:val="ListBullet2"/>
      </w:pPr>
      <w:r w:rsidRPr="00531846">
        <w:t>group therapy</w:t>
      </w:r>
    </w:p>
    <w:p w:rsidR="00000000" w:rsidRPr="00531846" w:rsidP="00531846">
      <w:pPr>
        <w:pStyle w:val="ListBullet2"/>
      </w:pPr>
      <w:r w:rsidRPr="00531846">
        <w:t>communication of information</w:t>
      </w:r>
    </w:p>
    <w:p w:rsidR="00000000" w:rsidRPr="00531846" w:rsidP="00531846">
      <w:pPr>
        <w:pStyle w:val="ListBullet2"/>
      </w:pPr>
      <w:r w:rsidRPr="00531846">
        <w:t>equipment and environment</w:t>
      </w:r>
    </w:p>
    <w:p w:rsidR="00000000" w:rsidRPr="00531846" w:rsidP="00531846">
      <w:pPr>
        <w:pStyle w:val="ListBullet"/>
      </w:pPr>
      <w:r w:rsidRPr="00531846">
        <w:t>scope of role of the Allied Health Assistant and Speech Pathologist</w:t>
      </w:r>
    </w:p>
    <w:p w:rsidR="00000000" w:rsidRPr="00531846" w:rsidP="00531846">
      <w:pPr>
        <w:pStyle w:val="ListBullet"/>
      </w:pPr>
      <w:r w:rsidRPr="00531846">
        <w:t>complications of dysphagia and an awareness of risk management protocols in response to adverse reactions or events</w:t>
      </w:r>
    </w:p>
    <w:p w:rsidR="00000000" w:rsidRPr="00531846" w:rsidP="00531846">
      <w:pPr>
        <w:pStyle w:val="ListBullet"/>
      </w:pPr>
      <w:r w:rsidRPr="00531846">
        <w:t>basic anatomy and physiology of body systems pertaining to structures affecting eating and swallowing</w:t>
      </w:r>
    </w:p>
    <w:p w:rsidR="00000000" w:rsidRPr="00531846" w:rsidP="00531846">
      <w:pPr>
        <w:pStyle w:val="ListBullet"/>
      </w:pPr>
      <w:r w:rsidRPr="00531846">
        <w:t>normal processes of eating and swallow</w:t>
      </w:r>
      <w:r w:rsidRPr="00531846">
        <w:t>ing and changes to swallowing that occur over the lifespan</w:t>
      </w:r>
    </w:p>
    <w:p w:rsidR="00000000" w:rsidRPr="00531846" w:rsidP="00531846">
      <w:pPr>
        <w:pStyle w:val="ListBullet"/>
      </w:pPr>
      <w:r w:rsidRPr="00531846">
        <w:t>organisational policies and procedures in relation to:</w:t>
      </w:r>
    </w:p>
    <w:p w:rsidR="00000000" w:rsidRPr="00531846" w:rsidP="00531846">
      <w:pPr>
        <w:pStyle w:val="ListBullet2"/>
      </w:pPr>
      <w:r w:rsidRPr="00531846">
        <w:t>confidentiality:</w:t>
      </w:r>
    </w:p>
    <w:p w:rsidR="00000000" w:rsidRPr="00531846" w:rsidP="00531846">
      <w:pPr>
        <w:pStyle w:val="ListBullet3"/>
      </w:pPr>
      <w:r w:rsidRPr="00531846">
        <w:t>privacy</w:t>
      </w:r>
    </w:p>
    <w:p w:rsidR="00000000" w:rsidRPr="00531846" w:rsidP="00531846">
      <w:pPr>
        <w:pStyle w:val="ListBullet3"/>
      </w:pPr>
      <w:r w:rsidRPr="00531846">
        <w:t>disclosure</w:t>
      </w:r>
    </w:p>
    <w:p w:rsidR="00000000" w:rsidRPr="00531846" w:rsidP="00531846">
      <w:pPr>
        <w:pStyle w:val="ListBullet2"/>
      </w:pPr>
      <w:r w:rsidRPr="00531846">
        <w:t>duty of care</w:t>
      </w:r>
    </w:p>
    <w:p w:rsidR="00000000" w:rsidRPr="00531846" w:rsidP="00531846">
      <w:pPr>
        <w:pStyle w:val="ListBullet2"/>
      </w:pPr>
      <w:r w:rsidRPr="00531846">
        <w:t>documentation:</w:t>
      </w:r>
    </w:p>
    <w:p w:rsidR="00000000" w:rsidRPr="00531846" w:rsidP="00531846">
      <w:pPr>
        <w:pStyle w:val="ListBullet3"/>
      </w:pPr>
      <w:r w:rsidRPr="00531846">
        <w:t>reporting</w:t>
      </w:r>
    </w:p>
    <w:p w:rsidR="00000000" w:rsidRPr="00531846" w:rsidP="00531846">
      <w:pPr>
        <w:pStyle w:val="ListBullet3"/>
      </w:pPr>
      <w:r w:rsidRPr="00531846">
        <w:t>recording data</w:t>
      </w:r>
    </w:p>
    <w:p w:rsidR="00000000" w:rsidRPr="00531846" w:rsidP="00531846">
      <w:pPr>
        <w:pStyle w:val="ListBullet3"/>
      </w:pPr>
      <w:r w:rsidRPr="00531846">
        <w:t>written communication to Speech Pathologist</w:t>
      </w:r>
    </w:p>
    <w:p w:rsidR="00000000" w:rsidRPr="00531846" w:rsidP="00531846">
      <w:pPr>
        <w:pStyle w:val="ListBullet2"/>
      </w:pPr>
      <w:r w:rsidRPr="00531846">
        <w:t>professional behaviour and presentation</w:t>
      </w:r>
    </w:p>
    <w:p w:rsidR="00000000" w:rsidRPr="00531846" w:rsidP="00531846">
      <w:pPr>
        <w:pStyle w:val="ListBullet2"/>
      </w:pPr>
      <w:r w:rsidRPr="00531846">
        <w:t>infection control practices</w:t>
      </w:r>
    </w:p>
    <w:p w:rsidR="00000000" w:rsidRPr="00531846" w:rsidP="00531846">
      <w:pPr>
        <w:pStyle w:val="ListBullet2"/>
      </w:pPr>
      <w:r w:rsidRPr="00531846">
        <w:t>work health and safety (WHS)</w:t>
      </w:r>
    </w:p>
    <w:p w:rsidR="00000000" w:rsidRPr="00531846" w:rsidP="00531846">
      <w:pPr>
        <w:pStyle w:val="ListBullet2"/>
      </w:pPr>
      <w:r w:rsidRPr="00531846">
        <w:t>manual handling</w:t>
      </w:r>
    </w:p>
    <w:p w:rsidR="00000000" w:rsidRPr="00531846" w:rsidP="00531846">
      <w:pPr>
        <w:pStyle w:val="ListBullet2"/>
      </w:pPr>
      <w:r w:rsidRPr="00531846">
        <w:t xml:space="preserve">supervision and delegation </w:t>
      </w:r>
    </w:p>
    <w:p w:rsidR="00000000" w:rsidRPr="00531846" w:rsidP="00531846">
      <w:pPr>
        <w:pStyle w:val="ListBullet2"/>
      </w:pPr>
      <w:r w:rsidRPr="00531846">
        <w:t xml:space="preserve">food safety program and procedures </w:t>
      </w:r>
    </w:p>
    <w:p w:rsidR="00000000" w:rsidRPr="00531846" w:rsidP="00531846">
      <w:pPr>
        <w:pStyle w:val="ListBullet2"/>
      </w:pPr>
      <w:r w:rsidRPr="00531846">
        <w:t>informed consent</w:t>
      </w:r>
    </w:p>
    <w:p w:rsidR="00000000" w:rsidRPr="00531846" w:rsidP="00531846">
      <w:pPr>
        <w:pStyle w:val="ListBullet"/>
      </w:pPr>
      <w:r w:rsidRPr="00531846">
        <w:t>postures and positioning for safe swallowing</w:t>
      </w:r>
    </w:p>
    <w:p w:rsidR="00000000" w:rsidRPr="00531846" w:rsidP="00531846">
      <w:pPr>
        <w:pStyle w:val="ListBullet"/>
      </w:pPr>
      <w:r w:rsidRPr="00531846">
        <w:t>techniques used in assessment of eating and swallowing, including:</w:t>
      </w:r>
    </w:p>
    <w:p w:rsidR="00000000" w:rsidRPr="00531846" w:rsidP="00531846">
      <w:pPr>
        <w:pStyle w:val="ListBullet2"/>
      </w:pPr>
      <w:r w:rsidRPr="00531846">
        <w:t>bedside assessment</w:t>
      </w:r>
    </w:p>
    <w:p w:rsidR="00000000" w:rsidRPr="00531846" w:rsidP="00531846">
      <w:pPr>
        <w:pStyle w:val="ListBullet2"/>
      </w:pPr>
      <w:r w:rsidRPr="00531846">
        <w:t>video fluoroscopy</w:t>
      </w:r>
    </w:p>
    <w:p w:rsidR="00000000" w:rsidRPr="00531846" w:rsidP="00531846">
      <w:pPr>
        <w:pStyle w:val="ListBullet"/>
      </w:pPr>
      <w:r w:rsidRPr="00531846">
        <w:t>disorders of eating and swallowing that may arise from:</w:t>
      </w:r>
    </w:p>
    <w:p w:rsidR="00000000" w:rsidRPr="00531846" w:rsidP="00531846">
      <w:pPr>
        <w:pStyle w:val="ListBullet2"/>
      </w:pPr>
      <w:r w:rsidRPr="00531846">
        <w:t>acquired injury and disease</w:t>
      </w:r>
    </w:p>
    <w:p w:rsidR="00000000" w:rsidRPr="00531846" w:rsidP="00531846">
      <w:pPr>
        <w:pStyle w:val="ListBullet2"/>
      </w:pPr>
      <w:r w:rsidRPr="00531846">
        <w:t>congenital abnormalities</w:t>
      </w:r>
    </w:p>
    <w:p w:rsidR="00000000" w:rsidRPr="00531846" w:rsidP="00531846">
      <w:pPr>
        <w:pStyle w:val="ListBullet2"/>
      </w:pPr>
      <w:r w:rsidRPr="00531846">
        <w:t>degenerative disease</w:t>
      </w:r>
    </w:p>
    <w:p w:rsidR="00000000" w:rsidRPr="00531846" w:rsidP="00531846">
      <w:pPr>
        <w:pStyle w:val="ListBullet2"/>
      </w:pPr>
      <w:r w:rsidRPr="00531846">
        <w:t>developmental delay</w:t>
      </w:r>
    </w:p>
    <w:p w:rsidR="00000000" w:rsidRPr="00531846" w:rsidP="00531846">
      <w:pPr>
        <w:pStyle w:val="ListBullet"/>
      </w:pPr>
      <w:r w:rsidRPr="00531846">
        <w:t>principles of empowering the older person</w:t>
      </w:r>
    </w:p>
    <w:p w:rsidR="00000000" w:rsidRPr="00531846" w:rsidP="00531846">
      <w:pPr>
        <w:pStyle w:val="ListBullet"/>
      </w:pPr>
      <w:r w:rsidRPr="00531846">
        <w:t>principles of empowering people living with disability or serious mental illness</w:t>
      </w:r>
    </w:p>
    <w:p w:rsidR="00000000" w:rsidRPr="00531846" w:rsidP="00531846">
      <w:pPr>
        <w:pStyle w:val="ListBullet"/>
      </w:pPr>
      <w:r w:rsidRPr="00531846">
        <w:t>changes related to ageing</w:t>
      </w:r>
    </w:p>
    <w:p w:rsidR="00000000" w:rsidRPr="00531846" w:rsidP="00531846">
      <w:pPr>
        <w:pStyle w:val="ListBullet"/>
      </w:pPr>
      <w:r w:rsidRPr="00531846">
        <w:t>concepts of holistic health and wellbeing</w:t>
      </w:r>
    </w:p>
    <w:p w:rsidR="00000000" w:rsidRPr="00531846" w:rsidP="00531846">
      <w:pPr>
        <w:pStyle w:val="ListBullet"/>
      </w:pPr>
      <w:r w:rsidRPr="00531846">
        <w:t>social determinants of health</w:t>
      </w:r>
    </w:p>
    <w:p w:rsidR="00000000" w:rsidRPr="00531846" w:rsidP="00531846">
      <w:pPr>
        <w:pStyle w:val="ListBullet"/>
      </w:pPr>
      <w:r w:rsidRPr="00531846">
        <w:t>concepts of the medical model, th</w:t>
      </w:r>
      <w:r w:rsidRPr="00531846">
        <w:t>e biopsychosocial models and the human rights-based approach of allied health interventions</w:t>
      </w:r>
    </w:p>
    <w:p w:rsidR="00000000" w:rsidRPr="00531846" w:rsidP="00531846">
      <w:pPr>
        <w:pStyle w:val="ListBullet"/>
      </w:pPr>
      <w:r w:rsidRPr="00531846">
        <w:t>principles of choice and control</w:t>
      </w:r>
    </w:p>
    <w:p w:rsidR="00000000" w:rsidRPr="00531846" w:rsidP="00531846">
      <w:pPr>
        <w:pStyle w:val="ListBullet"/>
      </w:pPr>
      <w:r w:rsidRPr="00531846">
        <w:t>concept of reablement.</w:t>
      </w:r>
    </w:p>
    <w:p w:rsidR="00000000" w:rsidRPr="00531846" w:rsidP="00531846">
      <w:pPr>
        <w:pStyle w:val="AllowPageBreak"/>
      </w:pPr>
    </w:p>
    <w:p w:rsidR="00000000" w:rsidRPr="00531846" w:rsidP="00531846">
      <w:pPr>
        <w:pStyle w:val="Heading1"/>
      </w:pPr>
      <w:bookmarkStart w:id="4" w:name="O_1224785"/>
      <w:bookmarkEnd w:id="4"/>
      <w:r w:rsidRPr="00531846">
        <w:t>Assessment Conditions</w:t>
      </w:r>
    </w:p>
    <w:p w:rsidR="00000000" w:rsidRPr="00531846" w:rsidP="00991E11">
      <w:pPr>
        <w:pStyle w:val="BodyText"/>
      </w:pPr>
      <w:r w:rsidRPr="00531846">
        <w:t>Skills may be demonstrated in the workplace, or in a simulated environment, as per the conditions outlined in the performance evidence.</w:t>
      </w:r>
    </w:p>
    <w:p w:rsidR="00000000" w:rsidRPr="00531846" w:rsidP="00991E11">
      <w:pPr>
        <w:pStyle w:val="BodyText"/>
      </w:pPr>
      <w:r w:rsidRPr="00531846">
        <w:t>Assessment must ensure:</w:t>
      </w:r>
    </w:p>
    <w:p w:rsidR="00000000" w:rsidRPr="00531846" w:rsidP="00531846">
      <w:pPr>
        <w:pStyle w:val="ListBullet"/>
      </w:pPr>
      <w:r w:rsidRPr="00531846">
        <w:t>access to suitable facilities, equipment and resources that reflect real working conditions and</w:t>
      </w:r>
      <w:r w:rsidRPr="00531846">
        <w:t xml:space="preserve"> model industry operating conditions and contingencies</w:t>
      </w:r>
    </w:p>
    <w:p w:rsidR="00000000" w:rsidRPr="00531846" w:rsidP="00531846">
      <w:pPr>
        <w:pStyle w:val="ListBullet"/>
      </w:pPr>
      <w:r w:rsidRPr="00531846">
        <w:t>access to individualised plans and any relevant equipment outlined in the plan</w:t>
      </w:r>
    </w:p>
    <w:p w:rsidR="00000000" w:rsidRPr="00531846" w:rsidP="00531846">
      <w:pPr>
        <w:pStyle w:val="ListBullet"/>
      </w:pPr>
      <w:r w:rsidRPr="00531846">
        <w:t>access to organisational policies and procedures</w:t>
      </w:r>
    </w:p>
    <w:p w:rsidR="00000000" w:rsidRPr="00531846" w:rsidP="00531846">
      <w:pPr>
        <w:pStyle w:val="ListBullet"/>
      </w:pPr>
      <w:r w:rsidRPr="00531846">
        <w:t>opportunities for engagement with real people accessing allied health ser</w:t>
      </w:r>
      <w:r w:rsidRPr="00531846">
        <w:t>vices.</w:t>
      </w:r>
    </w:p>
    <w:p w:rsidR="00000000" w:rsidRPr="00531846" w:rsidP="00991E11">
      <w:pPr>
        <w:pStyle w:val="BodyText"/>
      </w:pPr>
      <w:r w:rsidRPr="00531846">
        <w:t>Assessors must satisfy the Standards for Registered Training Organisations requirements for assessors, and:</w:t>
      </w:r>
    </w:p>
    <w:p w:rsidR="00000000" w:rsidRPr="00531846" w:rsidP="00531846">
      <w:pPr>
        <w:pStyle w:val="ListBullet"/>
      </w:pPr>
      <w:r w:rsidRPr="00531846">
        <w:t>be a Certificate IV qualified Allied Health Assistant with a minimum of three years of professional experience in allied health services, or</w:t>
      </w:r>
    </w:p>
    <w:p w:rsidR="00000000" w:rsidRPr="00531846" w:rsidP="00531846">
      <w:pPr>
        <w:pStyle w:val="ListBullet"/>
      </w:pPr>
      <w:r w:rsidRPr="00531846">
        <w:t>a registered Speech Pathologist.</w:t>
      </w:r>
    </w:p>
    <w:p w:rsidR="00000000" w:rsidRPr="00531846" w:rsidP="00531846">
      <w:pPr>
        <w:pStyle w:val="AllowPageBreak"/>
      </w:pPr>
    </w:p>
    <w:p w:rsidR="00000000" w:rsidRPr="00531846" w:rsidP="00531846">
      <w:pPr>
        <w:pStyle w:val="Heading1"/>
      </w:pPr>
      <w:bookmarkStart w:id="5" w:name="O_1224783"/>
      <w:bookmarkEnd w:id="5"/>
      <w:r w:rsidRPr="00531846">
        <w:t>Links</w:t>
      </w:r>
    </w:p>
    <w:p w:rsidR="00000000" w:rsidRPr="00531846" w:rsidP="00991E11">
      <w:pPr>
        <w:pStyle w:val="BodyText"/>
      </w:pPr>
      <w:r w:rsidRPr="005318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300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31846" w:rsidP="00531846"/>
    <w:sectPr w:rsidSect="005318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46" w:rsidRPr="00991E11" w:rsidP="00991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11" w:rsidP="00531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E11" w:rsidP="00531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1E11" w:rsidP="00531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846" w:rsidRPr="00991E11" w:rsidP="00991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11" w:rsidRPr="002D2AF8" w:rsidP="00531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HLTAHA035 Provide support in dysphagia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91E11" w:rsidP="00531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67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EF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AB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846"/>
  </w:style>
  <w:style w:type="character" w:customStyle="1" w:styleId="Heading1Char">
    <w:name w:val="Heading 1 Char"/>
    <w:basedOn w:val="DefaultParagraphFont"/>
    <w:link w:val="Heading1"/>
    <w:rsid w:val="00531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8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18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18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1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1846"/>
    <w:rPr>
      <w:b/>
      <w:spacing w:val="0"/>
    </w:rPr>
  </w:style>
  <w:style w:type="paragraph" w:customStyle="1" w:styleId="SuperTitle">
    <w:name w:val="SuperTitle"/>
    <w:basedOn w:val="Title"/>
    <w:rsid w:val="00531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846"/>
    <w:rPr>
      <w:i/>
    </w:rPr>
  </w:style>
  <w:style w:type="paragraph" w:styleId="Caption">
    <w:name w:val="caption"/>
    <w:basedOn w:val="BodyText"/>
    <w:next w:val="Normal"/>
    <w:qFormat/>
    <w:rsid w:val="00531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846"/>
  </w:style>
  <w:style w:type="paragraph" w:styleId="TableofFigures">
    <w:name w:val="table of figures"/>
    <w:basedOn w:val="Normal"/>
    <w:next w:val="Normal"/>
    <w:semiHidden/>
    <w:rsid w:val="00531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8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1846"/>
    <w:rPr>
      <w:rFonts w:ascii="Wingdings" w:hAnsi="Wingdings"/>
    </w:rPr>
  </w:style>
  <w:style w:type="paragraph" w:customStyle="1" w:styleId="TableHeading">
    <w:name w:val="Table Heading"/>
    <w:basedOn w:val="HeadingBase"/>
    <w:rsid w:val="00531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846"/>
    <w:rPr>
      <w:color w:val="0033CC"/>
      <w:u w:val="none"/>
    </w:rPr>
  </w:style>
  <w:style w:type="paragraph" w:customStyle="1" w:styleId="BodyTextRight">
    <w:name w:val="Body Text Right"/>
    <w:basedOn w:val="BodyText"/>
    <w:rsid w:val="00531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8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846"/>
    <w:rPr>
      <w:sz w:val="32"/>
    </w:rPr>
  </w:style>
  <w:style w:type="paragraph" w:customStyle="1" w:styleId="HeadingProcedure">
    <w:name w:val="Heading Procedure"/>
    <w:basedOn w:val="HeadingBase"/>
    <w:next w:val="Normal"/>
    <w:rsid w:val="00531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846"/>
    <w:pPr>
      <w:spacing w:before="60" w:after="60"/>
    </w:pPr>
  </w:style>
  <w:style w:type="paragraph" w:styleId="ListContinue">
    <w:name w:val="List Continue"/>
    <w:basedOn w:val="List"/>
    <w:rsid w:val="00531846"/>
    <w:pPr>
      <w:ind w:firstLine="0"/>
    </w:pPr>
  </w:style>
  <w:style w:type="paragraph" w:customStyle="1" w:styleId="ListNote">
    <w:name w:val="List Note"/>
    <w:basedOn w:val="List"/>
    <w:rsid w:val="00531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846"/>
    <w:rPr>
      <w:rFonts w:ascii="Courier New" w:hAnsi="Courier New"/>
    </w:rPr>
  </w:style>
  <w:style w:type="paragraph" w:customStyle="1" w:styleId="NoteBullet">
    <w:name w:val="Note Bullet"/>
    <w:basedOn w:val="Note"/>
    <w:rsid w:val="00531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8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1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846"/>
    <w:rPr>
      <w:b/>
      <w:smallCaps/>
    </w:rPr>
  </w:style>
  <w:style w:type="paragraph" w:customStyle="1" w:styleId="TableListNumber">
    <w:name w:val="Table List Number"/>
    <w:basedOn w:val="ListNumber"/>
    <w:rsid w:val="00531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846"/>
    <w:pPr>
      <w:numPr>
        <w:numId w:val="10"/>
      </w:numPr>
    </w:pPr>
  </w:style>
  <w:style w:type="paragraph" w:customStyle="1" w:styleId="ListAlpha2">
    <w:name w:val="List Alpha 2"/>
    <w:basedOn w:val="List2"/>
    <w:rsid w:val="00531846"/>
    <w:pPr>
      <w:numPr>
        <w:numId w:val="9"/>
      </w:numPr>
    </w:pPr>
  </w:style>
  <w:style w:type="paragraph" w:styleId="List2">
    <w:name w:val="List 2"/>
    <w:basedOn w:val="BodyText"/>
    <w:rsid w:val="00531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8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18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1846"/>
    <w:pPr>
      <w:numPr>
        <w:numId w:val="5"/>
      </w:numPr>
    </w:pPr>
  </w:style>
  <w:style w:type="paragraph" w:styleId="ListContinue2">
    <w:name w:val="List Continue 2"/>
    <w:basedOn w:val="List2"/>
    <w:rsid w:val="00531846"/>
    <w:pPr>
      <w:ind w:firstLine="0"/>
    </w:pPr>
  </w:style>
  <w:style w:type="paragraph" w:styleId="ListContinue3">
    <w:name w:val="List Continue 3"/>
    <w:basedOn w:val="List3"/>
    <w:rsid w:val="00531846"/>
    <w:pPr>
      <w:ind w:left="1021" w:firstLine="0"/>
    </w:pPr>
  </w:style>
  <w:style w:type="paragraph" w:styleId="ListContinue4">
    <w:name w:val="List Continue 4"/>
    <w:basedOn w:val="List4"/>
    <w:rsid w:val="00531846"/>
    <w:pPr>
      <w:ind w:firstLine="0"/>
    </w:pPr>
  </w:style>
  <w:style w:type="paragraph" w:styleId="ListContinue5">
    <w:name w:val="List Continue 5"/>
    <w:basedOn w:val="List5"/>
    <w:rsid w:val="00531846"/>
    <w:pPr>
      <w:ind w:firstLine="0"/>
    </w:pPr>
  </w:style>
  <w:style w:type="paragraph" w:styleId="ListNumber3">
    <w:name w:val="List Number 3"/>
    <w:basedOn w:val="List3"/>
    <w:rsid w:val="00531846"/>
    <w:pPr>
      <w:numPr>
        <w:numId w:val="6"/>
      </w:numPr>
    </w:pPr>
  </w:style>
  <w:style w:type="paragraph" w:styleId="ListNumber4">
    <w:name w:val="List Number 4"/>
    <w:basedOn w:val="List4"/>
    <w:rsid w:val="00531846"/>
    <w:pPr>
      <w:numPr>
        <w:numId w:val="7"/>
      </w:numPr>
    </w:pPr>
  </w:style>
  <w:style w:type="paragraph" w:styleId="ListNumber5">
    <w:name w:val="List Number 5"/>
    <w:basedOn w:val="List5"/>
    <w:rsid w:val="00531846"/>
    <w:pPr>
      <w:numPr>
        <w:numId w:val="8"/>
      </w:numPr>
    </w:pPr>
  </w:style>
  <w:style w:type="paragraph" w:styleId="BlockText">
    <w:name w:val="Block Text"/>
    <w:basedOn w:val="Normal"/>
    <w:rsid w:val="00531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846"/>
    <w:rPr>
      <w:sz w:val="16"/>
      <w:vertAlign w:val="superscript"/>
    </w:rPr>
  </w:style>
  <w:style w:type="character" w:customStyle="1" w:styleId="Symbols">
    <w:name w:val="Symbols"/>
    <w:basedOn w:val="DefaultParagraphFont"/>
    <w:rsid w:val="00531846"/>
    <w:rPr>
      <w:rFonts w:ascii="Symbol" w:hAnsi="Symbol"/>
    </w:rPr>
  </w:style>
  <w:style w:type="character" w:customStyle="1" w:styleId="MenuOptions">
    <w:name w:val="Menu Options"/>
    <w:basedOn w:val="DefaultParagraphFont"/>
    <w:rsid w:val="00531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846"/>
    <w:rPr>
      <w:b/>
    </w:rPr>
  </w:style>
  <w:style w:type="character" w:customStyle="1" w:styleId="Underlined">
    <w:name w:val="Underlined"/>
    <w:basedOn w:val="DefaultParagraphFont"/>
    <w:rsid w:val="00531846"/>
    <w:rPr>
      <w:u w:val="single"/>
    </w:rPr>
  </w:style>
  <w:style w:type="paragraph" w:customStyle="1" w:styleId="TableBodyTextRight">
    <w:name w:val="Table Body Text Right"/>
    <w:basedOn w:val="TableBodyText"/>
    <w:rsid w:val="00531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846"/>
    <w:rPr>
      <w:sz w:val="18"/>
    </w:rPr>
  </w:style>
  <w:style w:type="paragraph" w:customStyle="1" w:styleId="BodySmallRight">
    <w:name w:val="Body Small Right"/>
    <w:basedOn w:val="BodyTextRight"/>
    <w:rsid w:val="00531846"/>
    <w:rPr>
      <w:sz w:val="18"/>
      <w:szCs w:val="18"/>
    </w:rPr>
  </w:style>
  <w:style w:type="paragraph" w:customStyle="1" w:styleId="MarginEdition">
    <w:name w:val="Margin Edition"/>
    <w:basedOn w:val="MarginNote"/>
    <w:rsid w:val="00531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846"/>
    <w:rPr>
      <w:sz w:val="2"/>
      <w:szCs w:val="2"/>
    </w:rPr>
  </w:style>
  <w:style w:type="character" w:customStyle="1" w:styleId="Small">
    <w:name w:val="Small"/>
    <w:basedOn w:val="DefaultParagraphFont"/>
    <w:rsid w:val="00531846"/>
    <w:rPr>
      <w:sz w:val="16"/>
    </w:rPr>
  </w:style>
  <w:style w:type="paragraph" w:customStyle="1" w:styleId="WideTable">
    <w:name w:val="Wide Table"/>
    <w:basedOn w:val="Normal"/>
    <w:rsid w:val="00531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846"/>
  </w:style>
  <w:style w:type="paragraph" w:styleId="Quote">
    <w:name w:val="Quote"/>
    <w:basedOn w:val="Heading1"/>
    <w:link w:val="QuoteChar"/>
    <w:qFormat/>
    <w:rsid w:val="00531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846"/>
    <w:pPr>
      <w:pageBreakBefore/>
    </w:pPr>
  </w:style>
  <w:style w:type="paragraph" w:customStyle="1" w:styleId="Border">
    <w:name w:val="Border"/>
    <w:basedOn w:val="Normal"/>
    <w:qFormat/>
    <w:rsid w:val="00531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846"/>
    <w:rPr>
      <w:u w:val="single"/>
    </w:rPr>
  </w:style>
  <w:style w:type="character" w:customStyle="1" w:styleId="BoldandItalics">
    <w:name w:val="Bold and Italics"/>
    <w:qFormat/>
    <w:rsid w:val="00531846"/>
    <w:rPr>
      <w:b/>
      <w:i/>
      <w:u w:val="none"/>
    </w:rPr>
  </w:style>
  <w:style w:type="paragraph" w:styleId="BalloonText">
    <w:name w:val="Balloon Text"/>
    <w:basedOn w:val="Normal"/>
    <w:link w:val="BalloonTextChar"/>
    <w:rsid w:val="00531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846"/>
    <w:pPr>
      <w:spacing w:before="0" w:after="0"/>
    </w:pPr>
  </w:style>
  <w:style w:type="paragraph" w:customStyle="1" w:styleId="BodyTextBold">
    <w:name w:val="Body Text Bold"/>
    <w:basedOn w:val="BodyText"/>
    <w:qFormat/>
    <w:rsid w:val="00531846"/>
    <w:rPr>
      <w:b/>
    </w:rPr>
  </w:style>
  <w:style w:type="character" w:styleId="Hyperlink">
    <w:name w:val="Hyperlink"/>
    <w:basedOn w:val="DefaultParagraphFont"/>
    <w:uiPriority w:val="99"/>
    <w:unhideWhenUsed/>
    <w:rsid w:val="00991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3245</Characters>
  <Application>Microsoft Office Word</Application>
  <DocSecurity>0</DocSecurity>
  <Lines>92</Lines>
  <Paragraphs>79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HLTAHA035 Provide support in dysphagia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