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57" w:rsidP="00131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HLTAHA013 Provide support in dysphagia management</w:t>
      </w:r>
      <w:r>
        <w:fldChar w:fldCharType="end"/>
      </w:r>
    </w:p>
    <w:p w:rsidR="00131A57" w:rsidP="00131A57">
      <w:pPr>
        <w:pStyle w:val="Version"/>
        <w:sectPr w:rsidSect="00A57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18C" w:rsidP="00A5718C">
      <w:pPr>
        <w:pStyle w:val="SuperHeading"/>
      </w:pPr>
      <w:r w:rsidRPr="00A5718C">
        <w:t>Assessment Requirements for HLTAHA013 Provide support in dysphagia management</w:t>
      </w:r>
    </w:p>
    <w:p w:rsidR="00000000" w:rsidRPr="00A5718C" w:rsidP="00A5718C">
      <w:pPr>
        <w:pStyle w:val="Heading1"/>
      </w:pPr>
      <w:bookmarkStart w:id="1" w:name="O_655599"/>
      <w:bookmarkEnd w:id="1"/>
      <w:r w:rsidRPr="00A571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57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8C" w:rsidP="00A5718C">
            <w:pPr>
              <w:pStyle w:val="BodyText"/>
            </w:pPr>
            <w:r w:rsidRPr="00A5718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8C">
            <w:pPr>
              <w:pStyle w:val="BodyText"/>
              <w:rPr>
                <w:lang w:val="en-NZ"/>
              </w:rPr>
            </w:pPr>
            <w:r w:rsidRPr="00A5718C">
              <w:rPr>
                <w:rStyle w:val="SpecialBold"/>
              </w:rPr>
              <w:t>Comments</w:t>
            </w:r>
          </w:p>
        </w:tc>
      </w:tr>
      <w:tr w:rsidTr="00A57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8C">
            <w:pPr>
              <w:pStyle w:val="BodyText"/>
              <w:rPr>
                <w:lang w:val="en-NZ"/>
              </w:rPr>
            </w:pPr>
            <w:r w:rsidRPr="00A5718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8C" w:rsidP="00A5718C">
            <w:pPr>
              <w:pStyle w:val="BodyText"/>
            </w:pPr>
            <w:r w:rsidRPr="00A5718C">
              <w:t xml:space="preserve">This version was released in </w:t>
            </w:r>
            <w:r w:rsidRPr="00A5718C">
              <w:rPr>
                <w:rStyle w:val="Emphasis"/>
              </w:rPr>
              <w:t>HLT Health Training Package release 2.0</w:t>
            </w:r>
            <w:r w:rsidRPr="00A5718C">
              <w:t xml:space="preserve"> and meets the requirements of </w:t>
            </w:r>
            <w:r w:rsidRPr="00A5718C">
              <w:t>the 2012 Standards for Training Packages.</w:t>
            </w:r>
          </w:p>
          <w:p w:rsidR="00000000" w:rsidRPr="00A5718C" w:rsidP="00A5718C">
            <w:pPr>
              <w:pStyle w:val="BodyText"/>
            </w:pPr>
            <w:r w:rsidRPr="00A5718C">
              <w:t>Significant changes to the elements and performance criteria. New evidence requirements for assessment including volume and frequency requirements. Minimum work hours added.  Removal of pre-requisite. Significant c</w:t>
            </w:r>
            <w:r w:rsidRPr="00A5718C">
              <w:t>hange to knowledge evidence.</w:t>
            </w:r>
          </w:p>
        </w:tc>
      </w:tr>
    </w:tbl>
    <w:p w:rsidR="00000000" w:rsidRPr="00A5718C" w:rsidP="00A5718C">
      <w:pPr>
        <w:pStyle w:val="BodyText"/>
      </w:pPr>
    </w:p>
    <w:p w:rsidR="00000000" w:rsidRPr="00A5718C" w:rsidP="00A5718C">
      <w:pPr>
        <w:pStyle w:val="AllowPageBreak"/>
      </w:pPr>
    </w:p>
    <w:p w:rsidR="00000000" w:rsidRPr="00A5718C" w:rsidP="00A5718C">
      <w:pPr>
        <w:pStyle w:val="Heading1"/>
      </w:pPr>
      <w:bookmarkStart w:id="2" w:name="O_655600"/>
      <w:bookmarkEnd w:id="2"/>
      <w:r w:rsidRPr="00A5718C">
        <w:t>Performance Evidence</w:t>
      </w:r>
    </w:p>
    <w:p w:rsidR="00000000" w:rsidRPr="00A5718C" w:rsidP="00131A57">
      <w:pPr>
        <w:pStyle w:val="BodyText"/>
      </w:pPr>
      <w:r w:rsidRPr="00A5718C">
        <w:t>The candidate must show evidence of the ability to complete tasks outlined in elements and performance criteria of this unit, manage tasks and manage contingencies in the context of the j</w:t>
      </w:r>
      <w:r w:rsidRPr="00A5718C">
        <w:t>ob role. There must be evidence that the candidate has:</w:t>
      </w:r>
    </w:p>
    <w:p w:rsidR="00000000" w:rsidRPr="00A5718C" w:rsidP="00A5718C">
      <w:pPr>
        <w:pStyle w:val="ListBullet"/>
      </w:pPr>
      <w:r w:rsidRPr="00A5718C">
        <w:t>delivered therapeutic support and skill development for 3 clients with dysphagia, 1 in a simulated environment and 2 in the workplace</w:t>
      </w:r>
    </w:p>
    <w:p w:rsidR="00000000" w:rsidRPr="00A5718C" w:rsidP="00A5718C">
      <w:pPr>
        <w:pStyle w:val="ListBullet"/>
      </w:pPr>
      <w:r w:rsidRPr="00A5718C">
        <w:t xml:space="preserve">performed the activities outlined in the performance criteria of </w:t>
      </w:r>
      <w:r w:rsidRPr="00A5718C">
        <w:t>this unit during a period of at least 120 hours of work</w:t>
      </w:r>
    </w:p>
    <w:p w:rsidR="00000000" w:rsidRPr="00A5718C" w:rsidP="00A5718C">
      <w:pPr>
        <w:pStyle w:val="AllowPageBreak"/>
      </w:pPr>
    </w:p>
    <w:p w:rsidR="00000000" w:rsidRPr="00A5718C" w:rsidP="00A5718C">
      <w:pPr>
        <w:pStyle w:val="Heading1"/>
      </w:pPr>
      <w:bookmarkStart w:id="3" w:name="O_655601"/>
      <w:bookmarkEnd w:id="3"/>
      <w:r w:rsidRPr="00A5718C">
        <w:t>Knowledge Evidence</w:t>
      </w:r>
    </w:p>
    <w:p w:rsidR="00000000" w:rsidRPr="00A5718C" w:rsidP="00131A57">
      <w:pPr>
        <w:pStyle w:val="BodyText"/>
      </w:pPr>
      <w:r w:rsidRPr="00A5718C">
        <w:t xml:space="preserve">The candidate must be able to demonstrate essential knowledge required to effectively complete tasks outlined in elements and performance criteria of </w:t>
      </w:r>
      <w:r w:rsidRPr="00A5718C">
        <w:t>this unit, manages tasks and manage contingencies in the context of the work role. This includes knowledge of:</w:t>
      </w:r>
    </w:p>
    <w:p w:rsidR="00000000" w:rsidRPr="00A5718C" w:rsidP="00A5718C">
      <w:pPr>
        <w:pStyle w:val="ListBullet"/>
      </w:pPr>
      <w:r w:rsidRPr="00A5718C">
        <w:t>secondary complications of dysphagia and an awareness of risk management protocols in response to adverse reactions/events</w:t>
      </w:r>
    </w:p>
    <w:p w:rsidR="00000000" w:rsidRPr="00A5718C" w:rsidP="00A5718C">
      <w:pPr>
        <w:pStyle w:val="ListBullet"/>
      </w:pPr>
      <w:r w:rsidRPr="00A5718C">
        <w:t>basic anatomy and phy</w:t>
      </w:r>
      <w:r w:rsidRPr="00A5718C">
        <w:t>siology of body systems pertaining to structures affecting eating and swallowing</w:t>
      </w:r>
    </w:p>
    <w:p w:rsidR="00000000" w:rsidRPr="00A5718C" w:rsidP="00A5718C">
      <w:pPr>
        <w:pStyle w:val="ListBullet"/>
      </w:pPr>
      <w:r w:rsidRPr="00A5718C">
        <w:t>normal processes of eating and swallowing and changes to swallowing that occur over the lifespan</w:t>
      </w:r>
    </w:p>
    <w:p w:rsidR="00000000" w:rsidRPr="00A5718C" w:rsidP="00A5718C">
      <w:pPr>
        <w:pStyle w:val="ListBullet"/>
      </w:pPr>
      <w:r w:rsidRPr="00A5718C">
        <w:t>organisation food safety program and procedures</w:t>
      </w:r>
    </w:p>
    <w:p w:rsidR="00000000" w:rsidRPr="00A5718C" w:rsidP="00A5718C">
      <w:pPr>
        <w:pStyle w:val="ListBullet"/>
      </w:pPr>
      <w:r w:rsidRPr="00A5718C">
        <w:t>postures and positioning for s</w:t>
      </w:r>
      <w:r w:rsidRPr="00A5718C">
        <w:t>afe swallowing</w:t>
      </w:r>
    </w:p>
    <w:p w:rsidR="00000000" w:rsidRPr="00A5718C" w:rsidP="00A5718C">
      <w:pPr>
        <w:pStyle w:val="ListBullet"/>
      </w:pPr>
      <w:r w:rsidRPr="00A5718C">
        <w:t>techniques used in assessment of eating and swallowing, including:</w:t>
      </w:r>
    </w:p>
    <w:p w:rsidR="00000000" w:rsidRPr="00A5718C" w:rsidP="00A5718C">
      <w:pPr>
        <w:pStyle w:val="ListBullet2"/>
      </w:pPr>
      <w:r w:rsidRPr="00A5718C">
        <w:t xml:space="preserve">bedside assessment </w:t>
      </w:r>
    </w:p>
    <w:p w:rsidR="00000000" w:rsidRPr="00A5718C" w:rsidP="00A5718C">
      <w:pPr>
        <w:pStyle w:val="ListBullet2"/>
      </w:pPr>
      <w:r w:rsidRPr="00A5718C">
        <w:t>video fluoroscopy</w:t>
      </w:r>
    </w:p>
    <w:p w:rsidR="00000000" w:rsidRPr="00A5718C" w:rsidP="00A5718C">
      <w:pPr>
        <w:pStyle w:val="ListBullet"/>
      </w:pPr>
      <w:r w:rsidRPr="00A5718C">
        <w:t>disorders of eating and swallowing that may arise from:</w:t>
      </w:r>
    </w:p>
    <w:p w:rsidR="00000000" w:rsidRPr="00A5718C" w:rsidP="00A5718C">
      <w:pPr>
        <w:pStyle w:val="ListBullet2"/>
      </w:pPr>
      <w:r w:rsidRPr="00A5718C">
        <w:t>acquired injury and disease</w:t>
      </w:r>
    </w:p>
    <w:p w:rsidR="00000000" w:rsidRPr="00A5718C" w:rsidP="00A5718C">
      <w:pPr>
        <w:pStyle w:val="ListBullet2"/>
      </w:pPr>
      <w:r w:rsidRPr="00A5718C">
        <w:t>congenital abnormalities</w:t>
      </w:r>
    </w:p>
    <w:p w:rsidR="00000000" w:rsidRPr="00A5718C" w:rsidP="00A5718C">
      <w:pPr>
        <w:pStyle w:val="ListBullet2"/>
      </w:pPr>
      <w:r w:rsidRPr="00A5718C">
        <w:t>degenerative disease</w:t>
      </w:r>
    </w:p>
    <w:p w:rsidR="00000000" w:rsidRPr="00A5718C" w:rsidP="00A5718C">
      <w:pPr>
        <w:pStyle w:val="ListBullet2"/>
      </w:pPr>
      <w:r w:rsidRPr="00A5718C">
        <w:t>developmental delay</w:t>
      </w:r>
    </w:p>
    <w:p w:rsidR="00000000" w:rsidRPr="00A5718C" w:rsidP="00A5718C">
      <w:pPr>
        <w:pStyle w:val="ListBullet"/>
      </w:pPr>
      <w:r w:rsidRPr="00A5718C">
        <w:t>legal and ethical considerations relevant to allied health:</w:t>
      </w:r>
    </w:p>
    <w:p w:rsidR="00000000" w:rsidRPr="00A5718C" w:rsidP="00A5718C">
      <w:pPr>
        <w:pStyle w:val="ListBullet2"/>
      </w:pPr>
      <w:r w:rsidRPr="00A5718C">
        <w:t>duty of care</w:t>
      </w:r>
    </w:p>
    <w:p w:rsidR="00000000" w:rsidRPr="00A5718C" w:rsidP="00A5718C">
      <w:pPr>
        <w:pStyle w:val="ListBullet2"/>
      </w:pPr>
      <w:r w:rsidRPr="00A5718C">
        <w:t>informed consent</w:t>
      </w:r>
    </w:p>
    <w:p w:rsidR="00000000" w:rsidRPr="00A5718C" w:rsidP="00A5718C">
      <w:pPr>
        <w:pStyle w:val="ListBullet2"/>
      </w:pPr>
      <w:r w:rsidRPr="00A5718C">
        <w:t>work health and safety (WHS):</w:t>
      </w:r>
    </w:p>
    <w:p w:rsidR="00000000" w:rsidRPr="00A5718C" w:rsidP="00A5718C">
      <w:pPr>
        <w:pStyle w:val="ListBullet3"/>
      </w:pPr>
      <w:r w:rsidRPr="00A5718C">
        <w:t>manual handling including identification and control of manual task risk factors</w:t>
      </w:r>
    </w:p>
    <w:p w:rsidR="00000000" w:rsidRPr="00A5718C" w:rsidP="00A5718C">
      <w:pPr>
        <w:pStyle w:val="AllowPageBreak"/>
      </w:pPr>
    </w:p>
    <w:p w:rsidR="00000000" w:rsidRPr="00A5718C" w:rsidP="00A5718C">
      <w:pPr>
        <w:pStyle w:val="Heading1"/>
      </w:pPr>
      <w:bookmarkStart w:id="4" w:name="O_655602"/>
      <w:bookmarkEnd w:id="4"/>
      <w:r w:rsidRPr="00A5718C">
        <w:t>Ass</w:t>
      </w:r>
      <w:r w:rsidRPr="00A5718C">
        <w:t>essment Conditions</w:t>
      </w:r>
    </w:p>
    <w:p w:rsidR="00000000" w:rsidRPr="00A5718C" w:rsidP="00131A57">
      <w:pPr>
        <w:pStyle w:val="BodyText"/>
      </w:pPr>
      <w:r w:rsidRPr="00A5718C">
        <w:t>All aspects of the performance evidence must have been demonstrated using simulation prior to being demonstrated in a therapeutic workplace under the direction and supervision (direct, indirect, remote) as determined by the speech pathol</w:t>
      </w:r>
      <w:r w:rsidRPr="00A5718C">
        <w:t>ogist.</w:t>
      </w:r>
    </w:p>
    <w:p w:rsidR="00000000" w:rsidRPr="00A5718C" w:rsidP="00131A57">
      <w:pPr>
        <w:pStyle w:val="BodyText"/>
      </w:pPr>
      <w:r w:rsidRPr="00A5718C">
        <w:t>The following conditions must be met for this unit:</w:t>
      </w:r>
    </w:p>
    <w:p w:rsidR="00000000" w:rsidRPr="00A5718C" w:rsidP="00A5718C">
      <w:pPr>
        <w:pStyle w:val="ListBullet"/>
      </w:pPr>
      <w:r w:rsidRPr="00A5718C">
        <w:t xml:space="preserve">use of suitable facilities, equipment and resources, including individualised plans and any relevant equipment outlined in the plan </w:t>
      </w:r>
    </w:p>
    <w:p w:rsidR="00000000" w:rsidRPr="00A5718C" w:rsidP="00A5718C">
      <w:pPr>
        <w:pStyle w:val="ListBullet"/>
      </w:pPr>
      <w:r w:rsidRPr="00A5718C">
        <w:t xml:space="preserve">modelling of industry operating conditions and contingencies, </w:t>
      </w:r>
      <w:r w:rsidRPr="00A5718C">
        <w:t>including provision of services to real people</w:t>
      </w:r>
    </w:p>
    <w:p w:rsidR="00000000" w:rsidRPr="00A5718C" w:rsidP="00A5718C">
      <w:pPr>
        <w:pStyle w:val="BodyText"/>
      </w:pPr>
    </w:p>
    <w:p w:rsidR="00000000" w:rsidRPr="00A5718C" w:rsidP="00131A57">
      <w:pPr>
        <w:pStyle w:val="BodyText"/>
      </w:pPr>
      <w:r w:rsidRPr="00A5718C">
        <w:t>Assessors must satisfy the Standards for Registered Training Organisations (RTOs) 2015/AQTF mandatory competency requirements for assessors.</w:t>
      </w:r>
    </w:p>
    <w:p w:rsidR="00000000" w:rsidRPr="00A5718C" w:rsidP="00A5718C">
      <w:pPr>
        <w:pStyle w:val="Heading1"/>
      </w:pPr>
      <w:bookmarkStart w:id="5" w:name="O_655605"/>
      <w:bookmarkEnd w:id="5"/>
      <w:r w:rsidRPr="00A5718C">
        <w:t>Links</w:t>
      </w:r>
    </w:p>
    <w:p w:rsidR="00000000" w:rsidRPr="00A5718C" w:rsidP="00131A57">
      <w:pPr>
        <w:pStyle w:val="BodyText"/>
      </w:pPr>
      <w:r w:rsidRPr="00A5718C">
        <w:t>Companion Volume implementation guides are f</w:t>
      </w:r>
      <w:r w:rsidRPr="00A5718C">
        <w:t xml:space="preserve">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7C1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718C" w:rsidP="00A5718C"/>
    <w:sectPr w:rsidSect="00A57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8C" w:rsidRPr="00131A57" w:rsidP="00131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7" w:rsidP="00A57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A57" w:rsidP="00A57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1A57" w:rsidP="00A57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18C" w:rsidRPr="00131A57" w:rsidP="00131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7" w:rsidRPr="002D2AF8" w:rsidP="00A57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HLTAHA013 Provide support in dysphagia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31A57" w:rsidP="00A57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703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04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A42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18C"/>
  </w:style>
  <w:style w:type="character" w:customStyle="1" w:styleId="Heading1Char">
    <w:name w:val="Heading 1 Char"/>
    <w:basedOn w:val="DefaultParagraphFont"/>
    <w:link w:val="Heading1"/>
    <w:rsid w:val="00A57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1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18C"/>
    <w:rPr>
      <w:b/>
      <w:spacing w:val="0"/>
    </w:rPr>
  </w:style>
  <w:style w:type="paragraph" w:styleId="ListBullet2">
    <w:name w:val="List Bullet 2"/>
    <w:basedOn w:val="List2"/>
    <w:rsid w:val="00A571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718C"/>
    <w:rPr>
      <w:i/>
    </w:rPr>
  </w:style>
  <w:style w:type="paragraph" w:customStyle="1" w:styleId="SuperHeading">
    <w:name w:val="SuperHeading"/>
    <w:basedOn w:val="Normal"/>
    <w:rsid w:val="00A57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71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7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18C"/>
  </w:style>
  <w:style w:type="paragraph" w:styleId="TableofFigures">
    <w:name w:val="table of figures"/>
    <w:basedOn w:val="Normal"/>
    <w:next w:val="Normal"/>
    <w:semiHidden/>
    <w:rsid w:val="00A57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1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718C"/>
    <w:rPr>
      <w:rFonts w:ascii="Wingdings" w:hAnsi="Wingdings"/>
    </w:rPr>
  </w:style>
  <w:style w:type="paragraph" w:customStyle="1" w:styleId="TableHeading">
    <w:name w:val="Table Heading"/>
    <w:basedOn w:val="HeadingBase"/>
    <w:rsid w:val="00A57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18C"/>
    <w:rPr>
      <w:color w:val="0033CC"/>
      <w:u w:val="none"/>
    </w:rPr>
  </w:style>
  <w:style w:type="paragraph" w:customStyle="1" w:styleId="BodyTextRight">
    <w:name w:val="Body Text Right"/>
    <w:basedOn w:val="BodyText"/>
    <w:rsid w:val="00A57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1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18C"/>
    <w:rPr>
      <w:sz w:val="32"/>
    </w:rPr>
  </w:style>
  <w:style w:type="paragraph" w:customStyle="1" w:styleId="HeadingProcedure">
    <w:name w:val="Heading Procedure"/>
    <w:basedOn w:val="HeadingBase"/>
    <w:next w:val="Normal"/>
    <w:rsid w:val="00A57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18C"/>
    <w:pPr>
      <w:spacing w:before="60" w:after="60"/>
    </w:pPr>
  </w:style>
  <w:style w:type="paragraph" w:styleId="ListContinue">
    <w:name w:val="List Continue"/>
    <w:basedOn w:val="List"/>
    <w:rsid w:val="00A5718C"/>
    <w:pPr>
      <w:ind w:firstLine="0"/>
    </w:pPr>
  </w:style>
  <w:style w:type="paragraph" w:customStyle="1" w:styleId="ListNote">
    <w:name w:val="List Note"/>
    <w:basedOn w:val="List"/>
    <w:rsid w:val="00A57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18C"/>
    <w:rPr>
      <w:rFonts w:ascii="Courier New" w:hAnsi="Courier New"/>
    </w:rPr>
  </w:style>
  <w:style w:type="paragraph" w:customStyle="1" w:styleId="NoteBullet">
    <w:name w:val="Note Bullet"/>
    <w:basedOn w:val="Note"/>
    <w:rsid w:val="00A57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1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18C"/>
    <w:rPr>
      <w:b/>
      <w:smallCaps/>
    </w:rPr>
  </w:style>
  <w:style w:type="paragraph" w:customStyle="1" w:styleId="TableListNumber">
    <w:name w:val="Table List Number"/>
    <w:basedOn w:val="ListNumber"/>
    <w:rsid w:val="00A57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18C"/>
    <w:pPr>
      <w:numPr>
        <w:numId w:val="10"/>
      </w:numPr>
    </w:pPr>
  </w:style>
  <w:style w:type="paragraph" w:customStyle="1" w:styleId="ListAlpha2">
    <w:name w:val="List Alpha 2"/>
    <w:basedOn w:val="List2"/>
    <w:rsid w:val="00A5718C"/>
    <w:pPr>
      <w:numPr>
        <w:numId w:val="9"/>
      </w:numPr>
    </w:pPr>
  </w:style>
  <w:style w:type="paragraph" w:styleId="List2">
    <w:name w:val="List 2"/>
    <w:basedOn w:val="BodyText"/>
    <w:rsid w:val="00A57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1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71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718C"/>
    <w:pPr>
      <w:numPr>
        <w:numId w:val="5"/>
      </w:numPr>
    </w:pPr>
  </w:style>
  <w:style w:type="paragraph" w:styleId="ListContinue2">
    <w:name w:val="List Continue 2"/>
    <w:basedOn w:val="List2"/>
    <w:rsid w:val="00A5718C"/>
    <w:pPr>
      <w:ind w:firstLine="0"/>
    </w:pPr>
  </w:style>
  <w:style w:type="paragraph" w:styleId="ListContinue3">
    <w:name w:val="List Continue 3"/>
    <w:basedOn w:val="List3"/>
    <w:rsid w:val="00A5718C"/>
    <w:pPr>
      <w:ind w:left="1021" w:firstLine="0"/>
    </w:pPr>
  </w:style>
  <w:style w:type="paragraph" w:styleId="ListContinue4">
    <w:name w:val="List Continue 4"/>
    <w:basedOn w:val="List4"/>
    <w:rsid w:val="00A5718C"/>
    <w:pPr>
      <w:ind w:firstLine="0"/>
    </w:pPr>
  </w:style>
  <w:style w:type="paragraph" w:styleId="ListContinue5">
    <w:name w:val="List Continue 5"/>
    <w:basedOn w:val="List5"/>
    <w:rsid w:val="00A5718C"/>
    <w:pPr>
      <w:ind w:firstLine="0"/>
    </w:pPr>
  </w:style>
  <w:style w:type="paragraph" w:styleId="ListNumber3">
    <w:name w:val="List Number 3"/>
    <w:basedOn w:val="List3"/>
    <w:rsid w:val="00A5718C"/>
    <w:pPr>
      <w:numPr>
        <w:numId w:val="6"/>
      </w:numPr>
    </w:pPr>
  </w:style>
  <w:style w:type="paragraph" w:styleId="ListNumber4">
    <w:name w:val="List Number 4"/>
    <w:basedOn w:val="List4"/>
    <w:rsid w:val="00A5718C"/>
    <w:pPr>
      <w:numPr>
        <w:numId w:val="7"/>
      </w:numPr>
    </w:pPr>
  </w:style>
  <w:style w:type="paragraph" w:styleId="ListNumber5">
    <w:name w:val="List Number 5"/>
    <w:basedOn w:val="List5"/>
    <w:rsid w:val="00A5718C"/>
    <w:pPr>
      <w:numPr>
        <w:numId w:val="8"/>
      </w:numPr>
    </w:pPr>
  </w:style>
  <w:style w:type="paragraph" w:styleId="BlockText">
    <w:name w:val="Block Text"/>
    <w:basedOn w:val="Normal"/>
    <w:rsid w:val="00A57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18C"/>
    <w:rPr>
      <w:sz w:val="16"/>
      <w:vertAlign w:val="superscript"/>
    </w:rPr>
  </w:style>
  <w:style w:type="character" w:customStyle="1" w:styleId="Symbols">
    <w:name w:val="Symbols"/>
    <w:basedOn w:val="DefaultParagraphFont"/>
    <w:rsid w:val="00A5718C"/>
    <w:rPr>
      <w:rFonts w:ascii="Symbol" w:hAnsi="Symbol"/>
    </w:rPr>
  </w:style>
  <w:style w:type="character" w:customStyle="1" w:styleId="MenuOptions">
    <w:name w:val="Menu Options"/>
    <w:basedOn w:val="DefaultParagraphFont"/>
    <w:rsid w:val="00A57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18C"/>
    <w:rPr>
      <w:b/>
    </w:rPr>
  </w:style>
  <w:style w:type="character" w:customStyle="1" w:styleId="Underlined">
    <w:name w:val="Underlined"/>
    <w:basedOn w:val="DefaultParagraphFont"/>
    <w:rsid w:val="00A5718C"/>
    <w:rPr>
      <w:u w:val="single"/>
    </w:rPr>
  </w:style>
  <w:style w:type="paragraph" w:customStyle="1" w:styleId="TableBodyTextRight">
    <w:name w:val="Table Body Text Right"/>
    <w:basedOn w:val="TableBodyText"/>
    <w:rsid w:val="00A57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18C"/>
    <w:rPr>
      <w:sz w:val="18"/>
    </w:rPr>
  </w:style>
  <w:style w:type="paragraph" w:customStyle="1" w:styleId="BodySmallRight">
    <w:name w:val="Body Small Right"/>
    <w:basedOn w:val="BodyTextRight"/>
    <w:rsid w:val="00A5718C"/>
    <w:rPr>
      <w:sz w:val="18"/>
      <w:szCs w:val="18"/>
    </w:rPr>
  </w:style>
  <w:style w:type="paragraph" w:customStyle="1" w:styleId="MarginEdition">
    <w:name w:val="Margin Edition"/>
    <w:basedOn w:val="MarginNote"/>
    <w:rsid w:val="00A57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18C"/>
    <w:rPr>
      <w:sz w:val="2"/>
      <w:szCs w:val="2"/>
    </w:rPr>
  </w:style>
  <w:style w:type="character" w:customStyle="1" w:styleId="Small">
    <w:name w:val="Small"/>
    <w:basedOn w:val="DefaultParagraphFont"/>
    <w:rsid w:val="00A5718C"/>
    <w:rPr>
      <w:sz w:val="16"/>
    </w:rPr>
  </w:style>
  <w:style w:type="paragraph" w:customStyle="1" w:styleId="WideTable">
    <w:name w:val="Wide Table"/>
    <w:basedOn w:val="Normal"/>
    <w:rsid w:val="00A57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18C"/>
  </w:style>
  <w:style w:type="paragraph" w:styleId="Quote">
    <w:name w:val="Quote"/>
    <w:basedOn w:val="Heading1"/>
    <w:link w:val="QuoteChar"/>
    <w:qFormat/>
    <w:rsid w:val="00A57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18C"/>
    <w:pPr>
      <w:pageBreakBefore/>
    </w:pPr>
  </w:style>
  <w:style w:type="paragraph" w:customStyle="1" w:styleId="Border">
    <w:name w:val="Border"/>
    <w:basedOn w:val="Normal"/>
    <w:qFormat/>
    <w:rsid w:val="00A57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18C"/>
    <w:rPr>
      <w:u w:val="single"/>
    </w:rPr>
  </w:style>
  <w:style w:type="character" w:customStyle="1" w:styleId="BoldandItalics">
    <w:name w:val="Bold and Italics"/>
    <w:qFormat/>
    <w:rsid w:val="00A5718C"/>
    <w:rPr>
      <w:b/>
      <w:i/>
      <w:u w:val="none"/>
    </w:rPr>
  </w:style>
  <w:style w:type="paragraph" w:styleId="BalloonText">
    <w:name w:val="Balloon Text"/>
    <w:basedOn w:val="Normal"/>
    <w:link w:val="BalloonTextChar"/>
    <w:rsid w:val="00A57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18C"/>
    <w:pPr>
      <w:spacing w:before="0" w:after="0"/>
    </w:pPr>
  </w:style>
  <w:style w:type="paragraph" w:customStyle="1" w:styleId="BodyTextBold">
    <w:name w:val="Body Text Bold"/>
    <w:basedOn w:val="BodyText"/>
    <w:qFormat/>
    <w:rsid w:val="00A5718C"/>
    <w:rPr>
      <w:b/>
    </w:rPr>
  </w:style>
  <w:style w:type="character" w:styleId="Hyperlink">
    <w:name w:val="Hyperlink"/>
    <w:basedOn w:val="DefaultParagraphFont"/>
    <w:uiPriority w:val="99"/>
    <w:unhideWhenUsed/>
    <w:rsid w:val="00131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2854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HLTAHA013 Provide support in dysphagia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