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6A55" w:rsidP="00636A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HLTAHA006 Assist with basic foot hygiene</w:t>
      </w:r>
      <w:r>
        <w:fldChar w:fldCharType="end"/>
      </w:r>
    </w:p>
    <w:p w:rsidR="00636A55" w:rsidP="00636A55">
      <w:pPr>
        <w:pStyle w:val="Version"/>
        <w:sectPr w:rsidSect="00B532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32E2" w:rsidP="00B532E2">
      <w:pPr>
        <w:pStyle w:val="SuperHeading"/>
      </w:pPr>
      <w:r w:rsidRPr="00B532E2">
        <w:t>Assessment Requirements for HLTAHA006 Assist with basic foot hygiene</w:t>
      </w:r>
    </w:p>
    <w:p w:rsidR="00000000" w:rsidRPr="00B532E2" w:rsidP="00B532E2">
      <w:pPr>
        <w:pStyle w:val="Heading1"/>
      </w:pPr>
      <w:bookmarkStart w:id="1" w:name="O_655466"/>
      <w:bookmarkEnd w:id="1"/>
      <w:r w:rsidRPr="00B532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53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E2" w:rsidP="00B532E2">
            <w:pPr>
              <w:pStyle w:val="BodyText"/>
            </w:pPr>
            <w:r w:rsidRPr="00B532E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E2">
            <w:pPr>
              <w:pStyle w:val="BodyText"/>
              <w:rPr>
                <w:lang w:val="en-NZ"/>
              </w:rPr>
            </w:pPr>
            <w:r w:rsidRPr="00B532E2">
              <w:rPr>
                <w:rStyle w:val="SpecialBold"/>
              </w:rPr>
              <w:t>Comments</w:t>
            </w:r>
          </w:p>
        </w:tc>
      </w:tr>
      <w:tr w:rsidTr="00B532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32E2">
            <w:pPr>
              <w:pStyle w:val="BodyText"/>
              <w:rPr>
                <w:lang w:val="en-NZ"/>
              </w:rPr>
            </w:pPr>
            <w:r w:rsidRPr="00B532E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32E2" w:rsidP="00B532E2">
            <w:pPr>
              <w:pStyle w:val="BodyText"/>
            </w:pPr>
            <w:r w:rsidRPr="00B532E2">
              <w:t xml:space="preserve">This version was released in </w:t>
            </w:r>
            <w:r w:rsidRPr="00B532E2">
              <w:rPr>
                <w:rStyle w:val="Emphasis"/>
              </w:rPr>
              <w:t>HLT Health Training Package release 2.0</w:t>
            </w:r>
            <w:r w:rsidRPr="00B532E2">
              <w:t xml:space="preserve"> and meets the requirements of the 2012 Standards for Training Packages.</w:t>
            </w:r>
          </w:p>
          <w:p w:rsidR="00000000" w:rsidRPr="00B532E2" w:rsidP="00B532E2">
            <w:pPr>
              <w:pStyle w:val="BodyText"/>
            </w:pPr>
            <w:r w:rsidRPr="00B532E2">
              <w:t>Minimal changes to the elements and performance criteria. New evidence requirements for assessment including volume and frequency requirements. Minimum work hours added.  Removal of p</w:t>
            </w:r>
            <w:r w:rsidRPr="00B532E2">
              <w:t>re-requisite. Significant change to knowledge evidence.</w:t>
            </w:r>
          </w:p>
        </w:tc>
      </w:tr>
    </w:tbl>
    <w:p w:rsidR="00000000" w:rsidRPr="00B532E2" w:rsidP="00B532E2">
      <w:pPr>
        <w:pStyle w:val="BodyText"/>
      </w:pPr>
    </w:p>
    <w:p w:rsidR="00000000" w:rsidRPr="00B532E2" w:rsidP="00B532E2">
      <w:pPr>
        <w:pStyle w:val="AllowPageBreak"/>
      </w:pPr>
    </w:p>
    <w:p w:rsidR="00000000" w:rsidRPr="00B532E2" w:rsidP="00B532E2">
      <w:pPr>
        <w:pStyle w:val="Heading1"/>
      </w:pPr>
      <w:bookmarkStart w:id="2" w:name="O_655467"/>
      <w:bookmarkEnd w:id="2"/>
      <w:r w:rsidRPr="00B532E2">
        <w:t>Performance Evidence</w:t>
      </w:r>
    </w:p>
    <w:p w:rsidR="00000000" w:rsidRPr="00B532E2" w:rsidP="00636A55">
      <w:pPr>
        <w:pStyle w:val="BodyText"/>
      </w:pPr>
      <w:r w:rsidRPr="00B532E2">
        <w:t>The candidate must show evidence of the ability to complete tasks outlined in elements and performance criteria of this unit, manage tasks and manage contingenc</w:t>
      </w:r>
      <w:r w:rsidRPr="00B532E2">
        <w:t>ies in the context of the job role. There must be evidence that the candidate has:</w:t>
      </w:r>
    </w:p>
    <w:p w:rsidR="00000000" w:rsidRPr="00B532E2" w:rsidP="00B532E2">
      <w:pPr>
        <w:pStyle w:val="ListBullet"/>
      </w:pPr>
      <w:r w:rsidRPr="00B532E2">
        <w:t xml:space="preserve">assisted with basic foot hygiene to at least 3 clients, 1 in a simulated environment and 2 in the workplace, including: </w:t>
      </w:r>
    </w:p>
    <w:p w:rsidR="00000000" w:rsidRPr="00B532E2" w:rsidP="00B532E2">
      <w:pPr>
        <w:pStyle w:val="ListBullet2"/>
      </w:pPr>
      <w:r w:rsidRPr="00B532E2">
        <w:t>cutting and filing nails</w:t>
      </w:r>
    </w:p>
    <w:p w:rsidR="00000000" w:rsidRPr="00B532E2" w:rsidP="00B532E2">
      <w:pPr>
        <w:pStyle w:val="ListBullet2"/>
      </w:pPr>
      <w:r w:rsidRPr="00B532E2">
        <w:t>identifying pathological nail and skin conditions</w:t>
      </w:r>
    </w:p>
    <w:p w:rsidR="00000000" w:rsidRPr="00B532E2" w:rsidP="00B532E2">
      <w:pPr>
        <w:pStyle w:val="ListBullet2"/>
      </w:pPr>
      <w:r w:rsidRPr="00B532E2">
        <w:t>applying simple wound dressings to at least 3 different conditions</w:t>
      </w:r>
    </w:p>
    <w:p w:rsidR="00000000" w:rsidRPr="00B532E2" w:rsidP="00B532E2">
      <w:pPr>
        <w:pStyle w:val="ListBullet2"/>
      </w:pPr>
      <w:r w:rsidRPr="00B532E2">
        <w:t xml:space="preserve">applying padding and cushioning to at least 3 different conditions </w:t>
      </w:r>
    </w:p>
    <w:p w:rsidR="00000000" w:rsidRPr="00B532E2" w:rsidP="00B532E2">
      <w:pPr>
        <w:pStyle w:val="ListBullet2"/>
      </w:pPr>
      <w:r w:rsidRPr="00B532E2">
        <w:t>applying medicaments, including:</w:t>
      </w:r>
    </w:p>
    <w:p w:rsidR="00000000" w:rsidRPr="00B532E2" w:rsidP="00B532E2">
      <w:pPr>
        <w:pStyle w:val="ListBullet3"/>
      </w:pPr>
      <w:r w:rsidRPr="00B532E2">
        <w:t>emollients</w:t>
      </w:r>
    </w:p>
    <w:p w:rsidR="00000000" w:rsidRPr="00B532E2" w:rsidP="00B532E2">
      <w:pPr>
        <w:pStyle w:val="ListBullet3"/>
      </w:pPr>
      <w:r w:rsidRPr="00B532E2">
        <w:t>astringents</w:t>
      </w:r>
    </w:p>
    <w:p w:rsidR="00000000" w:rsidRPr="00B532E2" w:rsidP="00B532E2">
      <w:pPr>
        <w:pStyle w:val="ListBullet3"/>
      </w:pPr>
      <w:r w:rsidRPr="00B532E2">
        <w:t>moisturisers</w:t>
      </w:r>
    </w:p>
    <w:p w:rsidR="00000000" w:rsidRPr="00B532E2" w:rsidP="00B532E2">
      <w:pPr>
        <w:pStyle w:val="ListBullet3"/>
      </w:pPr>
      <w:r w:rsidRPr="00B532E2">
        <w:t>a</w:t>
      </w:r>
      <w:r w:rsidRPr="00B532E2">
        <w:t>ntiseptics</w:t>
      </w:r>
    </w:p>
    <w:p w:rsidR="00000000" w:rsidRPr="00B532E2" w:rsidP="00B532E2">
      <w:pPr>
        <w:pStyle w:val="ListBullet"/>
      </w:pPr>
      <w:r w:rsidRPr="00B532E2">
        <w:t>applied a wound dressing for an iatrogenic wound</w:t>
      </w:r>
    </w:p>
    <w:p w:rsidR="00000000" w:rsidRPr="00B532E2" w:rsidP="00B532E2">
      <w:pPr>
        <w:pStyle w:val="ListBullet"/>
      </w:pPr>
      <w:r w:rsidRPr="00B532E2">
        <w:t>safely and effectively used podiatry instruments and electrical equipment, including an electric drill</w:t>
      </w:r>
    </w:p>
    <w:p w:rsidR="00000000" w:rsidRPr="00B532E2" w:rsidP="00B532E2">
      <w:pPr>
        <w:pStyle w:val="ListBullet"/>
      </w:pPr>
      <w:r w:rsidRPr="00B532E2">
        <w:t>performed the activities outlined in the performance criteria of this unit during a period of at least 120 hours of work</w:t>
      </w:r>
    </w:p>
    <w:p w:rsidR="00000000" w:rsidRPr="00B532E2" w:rsidP="00B532E2">
      <w:pPr>
        <w:pStyle w:val="AllowPageBreak"/>
      </w:pPr>
    </w:p>
    <w:p w:rsidR="00000000" w:rsidRPr="00B532E2" w:rsidP="00B532E2">
      <w:pPr>
        <w:pStyle w:val="Heading1"/>
      </w:pPr>
      <w:bookmarkStart w:id="3" w:name="O_655468"/>
      <w:bookmarkEnd w:id="3"/>
      <w:r w:rsidRPr="00B532E2">
        <w:t>Knowledge Evidence</w:t>
      </w:r>
    </w:p>
    <w:p w:rsidR="00000000" w:rsidRPr="00B532E2" w:rsidP="00636A55">
      <w:pPr>
        <w:pStyle w:val="BodyText"/>
      </w:pPr>
      <w:r w:rsidRPr="00B532E2">
        <w:t>The candidate must be able to demonstrate essential knowledge required to effectively complete task</w:t>
      </w:r>
      <w:r w:rsidRPr="00B532E2">
        <w:t>s outlined in elements and performance criteria of this unit, manage tasks and manage contingencies in the context of the work role. This includes knowledge of:</w:t>
      </w:r>
    </w:p>
    <w:p w:rsidR="00000000" w:rsidRPr="00B532E2" w:rsidP="00B532E2">
      <w:pPr>
        <w:pStyle w:val="ListBullet"/>
      </w:pPr>
      <w:r w:rsidRPr="00B532E2">
        <w:t>client treatment plans or foot care plan</w:t>
      </w:r>
    </w:p>
    <w:p w:rsidR="00000000" w:rsidRPr="00B532E2" w:rsidP="00B532E2">
      <w:pPr>
        <w:pStyle w:val="ListBullet"/>
      </w:pPr>
      <w:r w:rsidRPr="00B532E2">
        <w:t>goals and limitations of podiatry intervention and va</w:t>
      </w:r>
      <w:r w:rsidRPr="00B532E2">
        <w:t>riations in podiatry conditions</w:t>
      </w:r>
    </w:p>
    <w:p w:rsidR="00000000" w:rsidRPr="00B532E2" w:rsidP="00B532E2">
      <w:pPr>
        <w:pStyle w:val="ListBullet"/>
      </w:pPr>
      <w:r w:rsidRPr="00B532E2">
        <w:t xml:space="preserve">basic anatomy and physiology of the foot, including medical terminology, structure and functioning of the skin and integuments, and basic understanding of foot pathology </w:t>
      </w:r>
    </w:p>
    <w:p w:rsidR="00000000" w:rsidRPr="00B532E2" w:rsidP="00B532E2">
      <w:pPr>
        <w:pStyle w:val="ListBullet"/>
      </w:pPr>
      <w:r w:rsidRPr="00B532E2">
        <w:t>the function of medicaments:</w:t>
      </w:r>
    </w:p>
    <w:p w:rsidR="00000000" w:rsidRPr="00B532E2" w:rsidP="00B532E2">
      <w:pPr>
        <w:pStyle w:val="ListBullet2"/>
      </w:pPr>
      <w:r w:rsidRPr="00B532E2">
        <w:t>emollients</w:t>
      </w:r>
    </w:p>
    <w:p w:rsidR="00000000" w:rsidRPr="00B532E2" w:rsidP="00B532E2">
      <w:pPr>
        <w:pStyle w:val="ListBullet2"/>
      </w:pPr>
      <w:r w:rsidRPr="00B532E2">
        <w:t>astringents</w:t>
      </w:r>
    </w:p>
    <w:p w:rsidR="00000000" w:rsidRPr="00B532E2" w:rsidP="00B532E2">
      <w:pPr>
        <w:pStyle w:val="ListBullet2"/>
      </w:pPr>
      <w:r w:rsidRPr="00B532E2">
        <w:t>moisturisers</w:t>
      </w:r>
    </w:p>
    <w:p w:rsidR="00000000" w:rsidRPr="00B532E2" w:rsidP="00B532E2">
      <w:pPr>
        <w:pStyle w:val="ListBullet2"/>
      </w:pPr>
      <w:r w:rsidRPr="00B532E2">
        <w:t>antiseptics</w:t>
      </w:r>
    </w:p>
    <w:p w:rsidR="00000000" w:rsidRPr="00B532E2" w:rsidP="00B532E2">
      <w:pPr>
        <w:pStyle w:val="ListBullet"/>
      </w:pPr>
      <w:r w:rsidRPr="00B532E2">
        <w:t>principles and protocols of:</w:t>
      </w:r>
    </w:p>
    <w:p w:rsidR="00000000" w:rsidRPr="00B532E2" w:rsidP="00B532E2">
      <w:pPr>
        <w:pStyle w:val="ListBullet2"/>
      </w:pPr>
      <w:r w:rsidRPr="00B532E2">
        <w:t>aseptic technique</w:t>
      </w:r>
    </w:p>
    <w:p w:rsidR="00000000" w:rsidRPr="00B532E2" w:rsidP="00B532E2">
      <w:pPr>
        <w:pStyle w:val="ListBullet2"/>
      </w:pPr>
      <w:r w:rsidRPr="00B532E2">
        <w:t>foot hygiene</w:t>
      </w:r>
    </w:p>
    <w:p w:rsidR="00000000" w:rsidRPr="00B532E2" w:rsidP="00B532E2">
      <w:pPr>
        <w:pStyle w:val="ListBullet"/>
      </w:pPr>
      <w:r w:rsidRPr="00B532E2">
        <w:t>organisation policy and procedures in relation to:</w:t>
      </w:r>
    </w:p>
    <w:p w:rsidR="00000000" w:rsidRPr="00B532E2" w:rsidP="00B532E2">
      <w:pPr>
        <w:pStyle w:val="ListBullet2"/>
      </w:pPr>
      <w:r w:rsidRPr="00B532E2">
        <w:t>infection control</w:t>
      </w:r>
    </w:p>
    <w:p w:rsidR="00000000" w:rsidRPr="00B532E2" w:rsidP="00B532E2">
      <w:pPr>
        <w:pStyle w:val="ListBullet2"/>
      </w:pPr>
      <w:r w:rsidRPr="00B532E2">
        <w:t xml:space="preserve">record keeping and reporting </w:t>
      </w:r>
    </w:p>
    <w:p w:rsidR="00000000" w:rsidRPr="00B532E2" w:rsidP="00B532E2">
      <w:pPr>
        <w:pStyle w:val="ListBullet2"/>
      </w:pPr>
      <w:r w:rsidRPr="00B532E2">
        <w:t>other specific organisation procedures, including supervisory and reporting protocols</w:t>
      </w:r>
    </w:p>
    <w:p w:rsidR="00000000" w:rsidRPr="00B532E2" w:rsidP="00B532E2">
      <w:pPr>
        <w:pStyle w:val="ListBullet"/>
      </w:pPr>
      <w:r w:rsidRPr="00B532E2">
        <w:t>legal and ethical considerations relevant to allied health:</w:t>
      </w:r>
    </w:p>
    <w:p w:rsidR="00000000" w:rsidRPr="00B532E2" w:rsidP="00B532E2">
      <w:pPr>
        <w:pStyle w:val="ListBullet2"/>
      </w:pPr>
      <w:r w:rsidRPr="00B532E2">
        <w:t>privacy, confidentiality and disclosure</w:t>
      </w:r>
    </w:p>
    <w:p w:rsidR="00000000" w:rsidRPr="00B532E2" w:rsidP="00B532E2">
      <w:pPr>
        <w:pStyle w:val="ListBullet2"/>
      </w:pPr>
      <w:r w:rsidRPr="00B532E2">
        <w:t>duty of care</w:t>
      </w:r>
    </w:p>
    <w:p w:rsidR="00000000" w:rsidRPr="00B532E2" w:rsidP="00B532E2">
      <w:pPr>
        <w:pStyle w:val="ListBullet2"/>
      </w:pPr>
      <w:r w:rsidRPr="00B532E2">
        <w:t>work role boundaries – responsibilities and limitations</w:t>
      </w:r>
      <w:r w:rsidRPr="00B532E2">
        <w:t xml:space="preserve"> of self and other allied health team members and nursing, medical and other personnel</w:t>
      </w:r>
    </w:p>
    <w:p w:rsidR="00000000" w:rsidRPr="00B532E2" w:rsidP="00B532E2">
      <w:pPr>
        <w:pStyle w:val="ListBullet2"/>
      </w:pPr>
      <w:r w:rsidRPr="00B532E2">
        <w:t>work health and safety (WHS):</w:t>
      </w:r>
    </w:p>
    <w:p w:rsidR="00000000" w:rsidRPr="00B532E2" w:rsidP="00B532E2">
      <w:pPr>
        <w:pStyle w:val="ListBullet3"/>
      </w:pPr>
      <w:r w:rsidRPr="00B532E2">
        <w:t>manual handling, including identification and control of manual task risk factors</w:t>
      </w:r>
    </w:p>
    <w:p w:rsidR="00000000" w:rsidRPr="00B532E2" w:rsidP="00B532E2">
      <w:pPr>
        <w:pStyle w:val="AllowPageBreak"/>
      </w:pPr>
    </w:p>
    <w:p w:rsidR="00000000" w:rsidRPr="00B532E2" w:rsidP="00B532E2">
      <w:pPr>
        <w:pStyle w:val="Heading1"/>
      </w:pPr>
      <w:bookmarkStart w:id="4" w:name="O_655469"/>
      <w:bookmarkEnd w:id="4"/>
      <w:r w:rsidRPr="00B532E2">
        <w:t>Assessment Conditions</w:t>
      </w:r>
    </w:p>
    <w:p w:rsidR="00000000" w:rsidRPr="00B532E2" w:rsidP="00636A55">
      <w:pPr>
        <w:pStyle w:val="BodyText"/>
      </w:pPr>
      <w:r w:rsidRPr="00B532E2">
        <w:t>All aspects of the performance evidence must have been demonstrated using simulation prior to being demonstrated in a therapeutic workplace under the direction and supervision (direct, indirect, remote) as determined by the podiatrist.</w:t>
      </w:r>
    </w:p>
    <w:p w:rsidR="00000000" w:rsidRPr="00B532E2" w:rsidP="00636A55">
      <w:pPr>
        <w:pStyle w:val="BodyText"/>
      </w:pPr>
      <w:r w:rsidRPr="00B532E2">
        <w:t>The following condi</w:t>
      </w:r>
      <w:r w:rsidRPr="00B532E2">
        <w:t>tions must be met for this unit:</w:t>
      </w:r>
    </w:p>
    <w:p w:rsidR="00000000" w:rsidRPr="00B532E2" w:rsidP="00B532E2">
      <w:pPr>
        <w:pStyle w:val="ListBullet"/>
      </w:pPr>
      <w:r w:rsidRPr="00B532E2">
        <w:t xml:space="preserve">use of suitable facilities, equipment and resources, including: </w:t>
      </w:r>
    </w:p>
    <w:p w:rsidR="00000000" w:rsidRPr="00B532E2" w:rsidP="00B532E2">
      <w:pPr>
        <w:pStyle w:val="ListBullet2"/>
      </w:pPr>
      <w:r w:rsidRPr="00B532E2">
        <w:t xml:space="preserve">individualised plans and any relevant equipment outlined in the plan </w:t>
      </w:r>
    </w:p>
    <w:p w:rsidR="00000000" w:rsidRPr="00B532E2" w:rsidP="00B532E2">
      <w:pPr>
        <w:pStyle w:val="ListBullet2"/>
      </w:pPr>
      <w:r w:rsidRPr="00B532E2">
        <w:t>podiatry instruments and electrical equipment including:</w:t>
      </w:r>
    </w:p>
    <w:p w:rsidR="00000000" w:rsidRPr="00B532E2" w:rsidP="00B532E2">
      <w:pPr>
        <w:pStyle w:val="ListBullet3"/>
      </w:pPr>
      <w:r w:rsidRPr="00B532E2">
        <w:t>wound dressings</w:t>
      </w:r>
    </w:p>
    <w:p w:rsidR="00000000" w:rsidRPr="00B532E2" w:rsidP="00B532E2">
      <w:pPr>
        <w:pStyle w:val="ListBullet3"/>
      </w:pPr>
      <w:r w:rsidRPr="00B532E2">
        <w:t>padding and cushioning</w:t>
      </w:r>
    </w:p>
    <w:p w:rsidR="00000000" w:rsidRPr="00B532E2" w:rsidP="00B532E2">
      <w:pPr>
        <w:pStyle w:val="ListBullet3"/>
      </w:pPr>
      <w:r w:rsidRPr="00B532E2">
        <w:t>medicaments</w:t>
      </w:r>
    </w:p>
    <w:p w:rsidR="00000000" w:rsidRPr="00B532E2" w:rsidP="00B532E2">
      <w:pPr>
        <w:pStyle w:val="ListBullet3"/>
      </w:pPr>
      <w:r w:rsidRPr="00B532E2">
        <w:t>electric drill</w:t>
      </w:r>
    </w:p>
    <w:p w:rsidR="00000000" w:rsidRPr="00B532E2" w:rsidP="00B532E2">
      <w:pPr>
        <w:pStyle w:val="ListBullet"/>
      </w:pPr>
      <w:r w:rsidRPr="00B532E2">
        <w:t>modelling of industry operating conditions and contingencies, including provision of services to real people</w:t>
      </w:r>
    </w:p>
    <w:p w:rsidR="00000000" w:rsidRPr="00B532E2" w:rsidP="00B532E2">
      <w:pPr>
        <w:pStyle w:val="BodyText"/>
      </w:pPr>
    </w:p>
    <w:p w:rsidR="00000000" w:rsidRPr="00B532E2" w:rsidP="00636A55">
      <w:pPr>
        <w:pStyle w:val="BodyText"/>
      </w:pPr>
      <w:r w:rsidRPr="00B532E2">
        <w:t>Assessors must satisfy the Standards for Registered Training Organisations (RTOs) 2015/AQTF mandatory competency requirements for assessors.</w:t>
      </w:r>
    </w:p>
    <w:p w:rsidR="00000000" w:rsidRPr="00B532E2" w:rsidP="00B532E2">
      <w:pPr>
        <w:pStyle w:val="Heading1"/>
      </w:pPr>
      <w:bookmarkStart w:id="5" w:name="O_655472"/>
      <w:bookmarkEnd w:id="5"/>
      <w:r w:rsidRPr="00B532E2">
        <w:t>Links</w:t>
      </w:r>
    </w:p>
    <w:p w:rsidR="00000000" w:rsidRPr="00B532E2" w:rsidP="00636A55">
      <w:pPr>
        <w:pStyle w:val="BodyText"/>
      </w:pPr>
      <w:r w:rsidRPr="00B532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C1A8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532E2" w:rsidP="00B532E2"/>
    <w:sectPr w:rsidSect="00B532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2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2E2" w:rsidRPr="00636A55" w:rsidP="00636A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2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A55" w:rsidP="00B532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6A55" w:rsidP="00B532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36A55" w:rsidP="00B532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2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A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32E2" w:rsidRPr="00636A55" w:rsidP="00636A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2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A55" w:rsidRPr="002D2AF8" w:rsidP="00B532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HLTAHA006 Assist with basic foot hygiene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636A55" w:rsidP="00B532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D28E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3028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18AA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2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32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32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32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32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32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32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32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32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32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32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32E2"/>
  </w:style>
  <w:style w:type="character" w:customStyle="1" w:styleId="Heading1Char">
    <w:name w:val="Heading 1 Char"/>
    <w:basedOn w:val="DefaultParagraphFont"/>
    <w:link w:val="Heading1"/>
    <w:rsid w:val="00B532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32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32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32E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32E2"/>
    <w:rPr>
      <w:b/>
      <w:spacing w:val="0"/>
    </w:rPr>
  </w:style>
  <w:style w:type="paragraph" w:styleId="ListBullet2">
    <w:name w:val="List Bullet 2"/>
    <w:basedOn w:val="List2"/>
    <w:rsid w:val="00B532E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32E2"/>
    <w:rPr>
      <w:i/>
    </w:rPr>
  </w:style>
  <w:style w:type="paragraph" w:customStyle="1" w:styleId="SuperHeading">
    <w:name w:val="SuperHeading"/>
    <w:basedOn w:val="Normal"/>
    <w:rsid w:val="00B532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32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532E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532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32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32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3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32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32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32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32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32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32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32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32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32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32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32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32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32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32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32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32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32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32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32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32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32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32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32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32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32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32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32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32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32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32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32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32E2"/>
  </w:style>
  <w:style w:type="paragraph" w:styleId="TableofFigures">
    <w:name w:val="table of figures"/>
    <w:basedOn w:val="Normal"/>
    <w:next w:val="Normal"/>
    <w:semiHidden/>
    <w:rsid w:val="00B532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32E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532E2"/>
    <w:rPr>
      <w:rFonts w:ascii="Wingdings" w:hAnsi="Wingdings"/>
    </w:rPr>
  </w:style>
  <w:style w:type="paragraph" w:customStyle="1" w:styleId="TableHeading">
    <w:name w:val="Table Heading"/>
    <w:basedOn w:val="HeadingBase"/>
    <w:rsid w:val="00B532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32E2"/>
    <w:rPr>
      <w:color w:val="0033CC"/>
      <w:u w:val="none"/>
    </w:rPr>
  </w:style>
  <w:style w:type="paragraph" w:customStyle="1" w:styleId="BodyTextRight">
    <w:name w:val="Body Text Right"/>
    <w:basedOn w:val="BodyText"/>
    <w:rsid w:val="00B532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32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32E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32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32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32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32E2"/>
    <w:rPr>
      <w:sz w:val="32"/>
    </w:rPr>
  </w:style>
  <w:style w:type="paragraph" w:customStyle="1" w:styleId="HeadingProcedure">
    <w:name w:val="Heading Procedure"/>
    <w:basedOn w:val="HeadingBase"/>
    <w:next w:val="Normal"/>
    <w:rsid w:val="00B532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32E2"/>
    <w:pPr>
      <w:spacing w:before="60" w:after="60"/>
    </w:pPr>
  </w:style>
  <w:style w:type="paragraph" w:styleId="ListContinue">
    <w:name w:val="List Continue"/>
    <w:basedOn w:val="List"/>
    <w:rsid w:val="00B532E2"/>
    <w:pPr>
      <w:ind w:firstLine="0"/>
    </w:pPr>
  </w:style>
  <w:style w:type="paragraph" w:customStyle="1" w:styleId="ListNote">
    <w:name w:val="List Note"/>
    <w:basedOn w:val="List"/>
    <w:rsid w:val="00B532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32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32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32E2"/>
    <w:rPr>
      <w:rFonts w:ascii="Courier New" w:hAnsi="Courier New"/>
    </w:rPr>
  </w:style>
  <w:style w:type="paragraph" w:customStyle="1" w:styleId="NoteBullet">
    <w:name w:val="Note Bullet"/>
    <w:basedOn w:val="Note"/>
    <w:rsid w:val="00B532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32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32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32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32E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532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32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32E2"/>
    <w:rPr>
      <w:b/>
      <w:smallCaps/>
    </w:rPr>
  </w:style>
  <w:style w:type="paragraph" w:customStyle="1" w:styleId="TableListNumber">
    <w:name w:val="Table List Number"/>
    <w:basedOn w:val="ListNumber"/>
    <w:rsid w:val="00B532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32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32E2"/>
    <w:pPr>
      <w:numPr>
        <w:numId w:val="10"/>
      </w:numPr>
    </w:pPr>
  </w:style>
  <w:style w:type="paragraph" w:customStyle="1" w:styleId="ListAlpha2">
    <w:name w:val="List Alpha 2"/>
    <w:basedOn w:val="List2"/>
    <w:rsid w:val="00B532E2"/>
    <w:pPr>
      <w:numPr>
        <w:numId w:val="9"/>
      </w:numPr>
    </w:pPr>
  </w:style>
  <w:style w:type="paragraph" w:styleId="List2">
    <w:name w:val="List 2"/>
    <w:basedOn w:val="BodyText"/>
    <w:rsid w:val="00B532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32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32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32E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532E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532E2"/>
    <w:pPr>
      <w:numPr>
        <w:numId w:val="5"/>
      </w:numPr>
    </w:pPr>
  </w:style>
  <w:style w:type="paragraph" w:styleId="ListContinue2">
    <w:name w:val="List Continue 2"/>
    <w:basedOn w:val="List2"/>
    <w:rsid w:val="00B532E2"/>
    <w:pPr>
      <w:ind w:firstLine="0"/>
    </w:pPr>
  </w:style>
  <w:style w:type="paragraph" w:styleId="ListContinue3">
    <w:name w:val="List Continue 3"/>
    <w:basedOn w:val="List3"/>
    <w:rsid w:val="00B532E2"/>
    <w:pPr>
      <w:ind w:left="1021" w:firstLine="0"/>
    </w:pPr>
  </w:style>
  <w:style w:type="paragraph" w:styleId="ListContinue4">
    <w:name w:val="List Continue 4"/>
    <w:basedOn w:val="List4"/>
    <w:rsid w:val="00B532E2"/>
    <w:pPr>
      <w:ind w:firstLine="0"/>
    </w:pPr>
  </w:style>
  <w:style w:type="paragraph" w:styleId="ListContinue5">
    <w:name w:val="List Continue 5"/>
    <w:basedOn w:val="List5"/>
    <w:rsid w:val="00B532E2"/>
    <w:pPr>
      <w:ind w:firstLine="0"/>
    </w:pPr>
  </w:style>
  <w:style w:type="paragraph" w:styleId="ListNumber3">
    <w:name w:val="List Number 3"/>
    <w:basedOn w:val="List3"/>
    <w:rsid w:val="00B532E2"/>
    <w:pPr>
      <w:numPr>
        <w:numId w:val="6"/>
      </w:numPr>
    </w:pPr>
  </w:style>
  <w:style w:type="paragraph" w:styleId="ListNumber4">
    <w:name w:val="List Number 4"/>
    <w:basedOn w:val="List4"/>
    <w:rsid w:val="00B532E2"/>
    <w:pPr>
      <w:numPr>
        <w:numId w:val="7"/>
      </w:numPr>
    </w:pPr>
  </w:style>
  <w:style w:type="paragraph" w:styleId="ListNumber5">
    <w:name w:val="List Number 5"/>
    <w:basedOn w:val="List5"/>
    <w:rsid w:val="00B532E2"/>
    <w:pPr>
      <w:numPr>
        <w:numId w:val="8"/>
      </w:numPr>
    </w:pPr>
  </w:style>
  <w:style w:type="paragraph" w:styleId="BlockText">
    <w:name w:val="Block Text"/>
    <w:basedOn w:val="Normal"/>
    <w:rsid w:val="00B532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32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32E2"/>
    <w:rPr>
      <w:sz w:val="16"/>
      <w:vertAlign w:val="superscript"/>
    </w:rPr>
  </w:style>
  <w:style w:type="character" w:customStyle="1" w:styleId="Symbols">
    <w:name w:val="Symbols"/>
    <w:basedOn w:val="DefaultParagraphFont"/>
    <w:rsid w:val="00B532E2"/>
    <w:rPr>
      <w:rFonts w:ascii="Symbol" w:hAnsi="Symbol"/>
    </w:rPr>
  </w:style>
  <w:style w:type="character" w:customStyle="1" w:styleId="MenuOptions">
    <w:name w:val="Menu Options"/>
    <w:basedOn w:val="DefaultParagraphFont"/>
    <w:rsid w:val="00B532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32E2"/>
    <w:rPr>
      <w:b/>
    </w:rPr>
  </w:style>
  <w:style w:type="character" w:customStyle="1" w:styleId="Underlined">
    <w:name w:val="Underlined"/>
    <w:basedOn w:val="DefaultParagraphFont"/>
    <w:rsid w:val="00B532E2"/>
    <w:rPr>
      <w:u w:val="single"/>
    </w:rPr>
  </w:style>
  <w:style w:type="paragraph" w:customStyle="1" w:styleId="TableBodyTextRight">
    <w:name w:val="Table Body Text Right"/>
    <w:basedOn w:val="TableBodyText"/>
    <w:rsid w:val="00B532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32E2"/>
    <w:rPr>
      <w:sz w:val="18"/>
    </w:rPr>
  </w:style>
  <w:style w:type="paragraph" w:customStyle="1" w:styleId="BodySmallRight">
    <w:name w:val="Body Small Right"/>
    <w:basedOn w:val="BodyTextRight"/>
    <w:rsid w:val="00B532E2"/>
    <w:rPr>
      <w:sz w:val="18"/>
      <w:szCs w:val="18"/>
    </w:rPr>
  </w:style>
  <w:style w:type="paragraph" w:customStyle="1" w:styleId="MarginEdition">
    <w:name w:val="Margin Edition"/>
    <w:basedOn w:val="MarginNote"/>
    <w:rsid w:val="00B532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32E2"/>
    <w:rPr>
      <w:sz w:val="2"/>
      <w:szCs w:val="2"/>
    </w:rPr>
  </w:style>
  <w:style w:type="character" w:customStyle="1" w:styleId="Small">
    <w:name w:val="Small"/>
    <w:basedOn w:val="DefaultParagraphFont"/>
    <w:rsid w:val="00B532E2"/>
    <w:rPr>
      <w:sz w:val="16"/>
    </w:rPr>
  </w:style>
  <w:style w:type="paragraph" w:customStyle="1" w:styleId="WideTable">
    <w:name w:val="Wide Table"/>
    <w:basedOn w:val="Normal"/>
    <w:rsid w:val="00B532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32E2"/>
  </w:style>
  <w:style w:type="paragraph" w:styleId="Quote">
    <w:name w:val="Quote"/>
    <w:basedOn w:val="Heading1"/>
    <w:link w:val="QuoteChar"/>
    <w:qFormat/>
    <w:rsid w:val="00B532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32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32E2"/>
    <w:pPr>
      <w:pageBreakBefore/>
    </w:pPr>
  </w:style>
  <w:style w:type="paragraph" w:customStyle="1" w:styleId="Border">
    <w:name w:val="Border"/>
    <w:basedOn w:val="Normal"/>
    <w:qFormat/>
    <w:rsid w:val="00B532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32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2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2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32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32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32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32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32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32E2"/>
    <w:rPr>
      <w:u w:val="single"/>
    </w:rPr>
  </w:style>
  <w:style w:type="character" w:customStyle="1" w:styleId="BoldandItalics">
    <w:name w:val="Bold and Italics"/>
    <w:qFormat/>
    <w:rsid w:val="00B532E2"/>
    <w:rPr>
      <w:b/>
      <w:i/>
      <w:u w:val="none"/>
    </w:rPr>
  </w:style>
  <w:style w:type="paragraph" w:styleId="BalloonText">
    <w:name w:val="Balloon Text"/>
    <w:basedOn w:val="Normal"/>
    <w:link w:val="BalloonTextChar"/>
    <w:rsid w:val="00B532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32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32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32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32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32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32E2"/>
    <w:pPr>
      <w:spacing w:before="0" w:after="0"/>
    </w:pPr>
  </w:style>
  <w:style w:type="paragraph" w:customStyle="1" w:styleId="BodyTextBold">
    <w:name w:val="Body Text Bold"/>
    <w:basedOn w:val="BodyText"/>
    <w:qFormat/>
    <w:rsid w:val="00B532E2"/>
    <w:rPr>
      <w:b/>
    </w:rPr>
  </w:style>
  <w:style w:type="character" w:styleId="Hyperlink">
    <w:name w:val="Hyperlink"/>
    <w:basedOn w:val="DefaultParagraphFont"/>
    <w:uiPriority w:val="99"/>
    <w:unhideWhenUsed/>
    <w:rsid w:val="00636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3411</Characters>
  <Application>Microsoft Office Word</Application>
  <DocSecurity>0</DocSecurity>
  <Lines>97</Lines>
  <Paragraphs>72</Paragraphs>
  <ScaleCrop>false</ScaleCrop>
  <Company>Author-it Software Corporation Ltd.</Company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HLTAHA006 Assist with basic foot hygiene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2022-04-08T09:11:00Z</dcterms:created>
  <dcterms:modified xsi:type="dcterms:W3CDTF">2022-04-08T09:11:00Z</dcterms:modified>
</cp:coreProperties>
</file>