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8BE" w:rsidP="002B28BE">
      <w:pPr>
        <w:pStyle w:val="Title"/>
      </w:pPr>
      <w:r>
        <w:fldChar w:fldCharType="begin"/>
      </w:r>
      <w:r>
        <w:instrText xml:space="preserve"> TITLE   \* MERGEFORMAT </w:instrText>
      </w:r>
      <w:r>
        <w:fldChar w:fldCharType="separate"/>
      </w:r>
      <w:r>
        <w:t>HLTAEDR002 Assess and respond to medical emergencies</w:t>
      </w:r>
      <w:r>
        <w:fldChar w:fldCharType="end"/>
      </w:r>
    </w:p>
    <w:p w:rsidR="002B28BE" w:rsidP="002B28BE">
      <w:pPr>
        <w:pStyle w:val="Version"/>
        <w:sectPr w:rsidSect="008956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63B" w:rsidP="0089563B">
      <w:pPr>
        <w:pStyle w:val="SuperHeading"/>
      </w:pPr>
      <w:r w:rsidRPr="0089563B">
        <w:t>HLTAEDR002 Assess and respond to medical emergencies</w:t>
      </w:r>
    </w:p>
    <w:p w:rsidR="00000000" w:rsidRPr="0089563B" w:rsidP="0089563B">
      <w:pPr>
        <w:pStyle w:val="Heading1"/>
      </w:pPr>
      <w:bookmarkStart w:id="1" w:name="O_1277112"/>
      <w:bookmarkEnd w:id="1"/>
      <w:r w:rsidRPr="0089563B">
        <w:t>Modification History</w:t>
      </w:r>
    </w:p>
    <w:p w:rsidR="00000000" w:rsidRPr="0089563B" w:rsidP="002B28BE">
      <w:pPr>
        <w:pStyle w:val="BodyText"/>
      </w:pPr>
      <w:r w:rsidRPr="0089563B">
        <w:t>Not applicable.</w:t>
      </w:r>
    </w:p>
    <w:p w:rsidR="00000000" w:rsidRPr="0089563B" w:rsidP="0089563B">
      <w:pPr>
        <w:pStyle w:val="Heading1"/>
      </w:pPr>
      <w:bookmarkStart w:id="2" w:name="O_1277116"/>
      <w:bookmarkEnd w:id="2"/>
      <w:r w:rsidRPr="0089563B">
        <w:t>Application</w:t>
      </w:r>
    </w:p>
    <w:p w:rsidR="00000000" w:rsidRPr="0089563B" w:rsidP="002B28BE">
      <w:pPr>
        <w:pStyle w:val="BodyText"/>
      </w:pPr>
      <w:r w:rsidRPr="0089563B">
        <w:t>This unit describes the performance outcomes, skills and knowledge required to clinically assess emergency presentations, provide emergency care, and to monitor the clien</w:t>
      </w:r>
      <w:r w:rsidRPr="0089563B">
        <w:t>t’s condition until the situation is stabilised or the client is transferred to the care of other medical services. Assessment and treatment may take place in a health service or in other locations such as accident sites and clients’ homes. Medical emergen</w:t>
      </w:r>
      <w:r w:rsidRPr="0089563B">
        <w:t>cies may also involve multiple casualties.</w:t>
      </w:r>
    </w:p>
    <w:p w:rsidR="00000000" w:rsidRPr="0089563B" w:rsidP="002B28BE">
      <w:pPr>
        <w:pStyle w:val="BodyText"/>
      </w:pPr>
      <w:r w:rsidRPr="0089563B">
        <w:t>This unit is specific to Aboriginal and/or Torres Strait Islander people working as health practitioners. They work as part of a multidisciplinary primary health care team to provide primary health care services t</w:t>
      </w:r>
      <w:r w:rsidRPr="0089563B">
        <w:t>o Aboriginal and/or Torres Strait Islander clients.</w:t>
      </w:r>
    </w:p>
    <w:p w:rsidR="00000000" w:rsidRPr="0089563B" w:rsidP="002B28BE">
      <w:pPr>
        <w:pStyle w:val="BodyText"/>
      </w:pPr>
      <w:r w:rsidRPr="0089563B">
        <w:t>The skills in this unit must be applied in accordance with Commonwealth and State or Territory legislation, Australian standards and industry codes of practice.</w:t>
      </w:r>
    </w:p>
    <w:p w:rsidR="00000000" w:rsidRPr="0089563B" w:rsidP="002B28BE">
      <w:pPr>
        <w:pStyle w:val="BodyText"/>
      </w:pPr>
      <w:r w:rsidRPr="0089563B">
        <w:t>No regulatory requirement for certification</w:t>
      </w:r>
      <w:r w:rsidRPr="0089563B">
        <w:t>, occupational or business licensing is linked to this unit at the time of publication. For information about practitioner registration and accredited courses of study, contact the Aboriginal and Torres Strait Islander Health Practice Board of Australia (A</w:t>
      </w:r>
      <w:r w:rsidRPr="0089563B">
        <w:t>TSIHPBA).</w:t>
      </w:r>
    </w:p>
    <w:p w:rsidR="00000000" w:rsidRPr="0089563B" w:rsidP="0089563B">
      <w:pPr>
        <w:pStyle w:val="Heading1"/>
      </w:pPr>
      <w:bookmarkStart w:id="3" w:name="O_1277117"/>
      <w:bookmarkEnd w:id="3"/>
      <w:r w:rsidRPr="0089563B">
        <w:t>Pre-requisite Unit</w:t>
      </w:r>
    </w:p>
    <w:p w:rsidR="00000000" w:rsidRPr="0089563B" w:rsidP="002B28BE">
      <w:pPr>
        <w:pStyle w:val="BodyText"/>
      </w:pPr>
      <w:r w:rsidRPr="0089563B">
        <w:t>Nil</w:t>
      </w:r>
    </w:p>
    <w:p w:rsidR="00000000" w:rsidRPr="0089563B" w:rsidP="0089563B">
      <w:pPr>
        <w:pStyle w:val="Heading1"/>
      </w:pPr>
      <w:bookmarkStart w:id="4" w:name="O_1277118"/>
      <w:bookmarkEnd w:id="4"/>
      <w:r w:rsidRPr="0089563B">
        <w:t>Competency Field</w:t>
      </w:r>
    </w:p>
    <w:p w:rsidR="00000000" w:rsidRPr="0089563B" w:rsidP="002B28BE">
      <w:pPr>
        <w:pStyle w:val="BodyText"/>
      </w:pPr>
      <w:r w:rsidRPr="0089563B">
        <w:t>Emergency and Disaster Response</w:t>
      </w:r>
    </w:p>
    <w:p w:rsidR="00000000" w:rsidRPr="0089563B" w:rsidP="0089563B">
      <w:pPr>
        <w:pStyle w:val="Heading1"/>
      </w:pPr>
      <w:bookmarkStart w:id="5" w:name="O_1277119"/>
      <w:bookmarkEnd w:id="5"/>
      <w:r w:rsidRPr="0089563B">
        <w:t>Unit Sector</w:t>
      </w:r>
    </w:p>
    <w:p w:rsidR="00000000" w:rsidRPr="0089563B" w:rsidP="002B28BE">
      <w:pPr>
        <w:pStyle w:val="BodyText"/>
      </w:pPr>
      <w:r w:rsidRPr="0089563B">
        <w:t>Aboriginal and/or Torres Strait Islander Health</w:t>
      </w:r>
    </w:p>
    <w:p w:rsidR="00000000" w:rsidRPr="0089563B" w:rsidP="0089563B">
      <w:pPr>
        <w:pStyle w:val="Heading1"/>
      </w:pPr>
      <w:bookmarkStart w:id="6" w:name="O_1277115"/>
      <w:bookmarkEnd w:id="6"/>
      <w:r w:rsidRPr="0089563B">
        <w:t>Elements and Performance Criteria</w:t>
      </w:r>
    </w:p>
    <w:tbl>
      <w:tblPr>
        <w:tblW w:w="0" w:type="auto"/>
        <w:tblLayout w:type="fixed"/>
        <w:tblCellMar>
          <w:left w:w="62" w:type="dxa"/>
          <w:right w:w="62" w:type="dxa"/>
        </w:tblCellMar>
        <w:tblLook w:val="0000"/>
      </w:tblPr>
      <w:tblGrid>
        <w:gridCol w:w="2694"/>
        <w:gridCol w:w="6350"/>
      </w:tblGrid>
      <w:tr w:rsidTr="008956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9563B" w:rsidP="0089563B">
            <w:pPr>
              <w:pStyle w:val="BodyText"/>
            </w:pPr>
            <w:r w:rsidRPr="0089563B">
              <w:rPr>
                <w:rStyle w:val="SpecialBold"/>
              </w:rPr>
              <w:t>ELEM</w:t>
            </w:r>
            <w:r w:rsidRPr="0089563B">
              <w:rPr>
                <w:rStyle w:val="SpecialBold"/>
              </w:rPr>
              <w:t>ENTS</w:t>
            </w:r>
          </w:p>
        </w:tc>
        <w:tc>
          <w:tcPr>
            <w:tcW w:w="6350" w:type="dxa"/>
            <w:tcBorders>
              <w:top w:val="nil"/>
              <w:left w:val="nil"/>
              <w:bottom w:val="nil"/>
              <w:right w:val="nil"/>
            </w:tcBorders>
            <w:tcMar>
              <w:top w:w="0" w:type="dxa"/>
              <w:left w:w="62" w:type="dxa"/>
              <w:bottom w:w="0" w:type="dxa"/>
              <w:right w:w="62" w:type="dxa"/>
            </w:tcMar>
          </w:tcPr>
          <w:p w:rsidR="00000000" w:rsidP="0089563B">
            <w:pPr>
              <w:pStyle w:val="BodyText"/>
              <w:rPr>
                <w:lang w:val="en-NZ"/>
              </w:rPr>
            </w:pPr>
            <w:r w:rsidRPr="0089563B">
              <w:rPr>
                <w:rStyle w:val="SpecialBold"/>
              </w:rPr>
              <w:t>PERFORMANCE</w:t>
            </w:r>
            <w:r w:rsidRPr="0089563B">
              <w:t xml:space="preserve"> </w:t>
            </w:r>
            <w:r w:rsidRPr="0089563B">
              <w:rPr>
                <w:rStyle w:val="SpecialBold"/>
              </w:rPr>
              <w:t>CRITERIA</w:t>
            </w:r>
          </w:p>
        </w:tc>
      </w:tr>
      <w:tr w:rsidTr="0089563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9563B" w:rsidP="0089563B">
            <w:pPr>
              <w:pStyle w:val="BodyText"/>
            </w:pPr>
            <w:r w:rsidRPr="0089563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9563B">
            <w:pPr>
              <w:pStyle w:val="BodyText"/>
              <w:rPr>
                <w:lang w:val="en-NZ"/>
              </w:rPr>
            </w:pPr>
            <w:r w:rsidRPr="0089563B">
              <w:rPr>
                <w:rStyle w:val="Emphasis"/>
              </w:rPr>
              <w:t>Performance criteria describe the performance needed to demonstrate achievement of the element.</w:t>
            </w:r>
          </w:p>
        </w:tc>
      </w:tr>
      <w:tr w:rsidTr="0089563B">
        <w:tblPrEx>
          <w:tblW w:w="0" w:type="auto"/>
          <w:tblLayout w:type="fixed"/>
          <w:tblCellMar>
            <w:left w:w="62" w:type="dxa"/>
            <w:right w:w="62" w:type="dxa"/>
          </w:tblCellMar>
          <w:tblLook w:val="0000"/>
        </w:tblPrEx>
        <w:trPr>
          <w:trHeight w:val="971"/>
        </w:trPr>
        <w:tc>
          <w:tcPr>
            <w:tcW w:w="2694" w:type="dxa"/>
            <w:tcBorders>
              <w:top w:val="nil"/>
              <w:left w:val="nil"/>
              <w:bottom w:val="nil"/>
              <w:right w:val="nil"/>
            </w:tcBorders>
            <w:tcMar>
              <w:top w:w="0" w:type="dxa"/>
              <w:left w:w="62" w:type="dxa"/>
              <w:bottom w:w="0" w:type="dxa"/>
              <w:right w:w="62" w:type="dxa"/>
            </w:tcMar>
          </w:tcPr>
          <w:p w:rsidR="00000000" w:rsidP="0089563B">
            <w:pPr>
              <w:pStyle w:val="List"/>
              <w:rPr>
                <w:lang w:val="en-NZ"/>
              </w:rPr>
            </w:pPr>
            <w:r w:rsidRPr="0089563B">
              <w:t>1.  Make clinical assessment of emergency presentation.</w:t>
            </w:r>
          </w:p>
        </w:tc>
        <w:tc>
          <w:tcPr>
            <w:tcW w:w="6350" w:type="dxa"/>
            <w:tcBorders>
              <w:top w:val="nil"/>
              <w:left w:val="nil"/>
              <w:bottom w:val="nil"/>
              <w:right w:val="nil"/>
            </w:tcBorders>
            <w:tcMar>
              <w:top w:w="0" w:type="dxa"/>
              <w:left w:w="62" w:type="dxa"/>
              <w:bottom w:w="0" w:type="dxa"/>
              <w:right w:w="62" w:type="dxa"/>
            </w:tcMar>
          </w:tcPr>
          <w:p w:rsidR="00000000" w:rsidRPr="0089563B" w:rsidP="0089563B">
            <w:pPr>
              <w:pStyle w:val="List"/>
            </w:pPr>
            <w:r w:rsidRPr="0089563B">
              <w:t>1.1. Seek information from client and accompanying carers about reason for emergency presentation using culturally safe communication.</w:t>
            </w:r>
          </w:p>
          <w:p w:rsidR="00000000" w:rsidRPr="0089563B" w:rsidP="0089563B">
            <w:pPr>
              <w:pStyle w:val="List"/>
            </w:pPr>
            <w:r w:rsidRPr="0089563B">
              <w:t>1.2. Access and refer to any existing client records to inform clinical assessment.</w:t>
            </w:r>
          </w:p>
          <w:p w:rsidR="00000000" w:rsidRPr="0089563B" w:rsidP="0089563B">
            <w:pPr>
              <w:pStyle w:val="List"/>
            </w:pPr>
            <w:r w:rsidRPr="0089563B">
              <w:t>1.3. Complete primary survey of clien</w:t>
            </w:r>
            <w:r w:rsidRPr="0089563B">
              <w:t>t in correct sequence based on presenting condition according to organisational standard treatment protocols or emergency procedures.</w:t>
            </w:r>
          </w:p>
          <w:p w:rsidR="00000000" w:rsidRPr="0089563B" w:rsidP="0089563B">
            <w:pPr>
              <w:pStyle w:val="List"/>
            </w:pPr>
            <w:r w:rsidRPr="0089563B">
              <w:t>1.4. Identify the need for immediate assistance from emergency services and follow organisational procedures to access ser</w:t>
            </w:r>
            <w:r w:rsidRPr="0089563B">
              <w:t>vices.</w:t>
            </w:r>
          </w:p>
          <w:p w:rsidR="00000000" w:rsidRPr="0089563B" w:rsidP="0089563B">
            <w:pPr>
              <w:pStyle w:val="List"/>
            </w:pPr>
            <w:r w:rsidRPr="0089563B">
              <w:t>1.5. Complete secondary survey of client’s clinical status according to organisational standard treatment protocols or emergency procedures.</w:t>
            </w:r>
          </w:p>
          <w:p w:rsidR="00000000" w:rsidRPr="0089563B" w:rsidP="0089563B">
            <w:pPr>
              <w:pStyle w:val="List"/>
            </w:pPr>
            <w:r w:rsidRPr="0089563B">
              <w:t>1.6. Complete client records to include accurate and complete details of emergency presentation.</w:t>
            </w:r>
          </w:p>
          <w:p w:rsidR="00000000" w:rsidRPr="0089563B" w:rsidP="0089563B">
            <w:pPr>
              <w:pStyle w:val="List"/>
            </w:pPr>
            <w:r w:rsidRPr="0089563B">
              <w:t>1.7. Identi</w:t>
            </w:r>
            <w:r w:rsidRPr="0089563B">
              <w:t>fy potential for client deterioration and critical time factors based on outcomes of primary and secondary survey.</w:t>
            </w:r>
          </w:p>
          <w:p w:rsidR="00000000" w:rsidP="0089563B">
            <w:pPr>
              <w:pStyle w:val="List"/>
              <w:rPr>
                <w:lang w:val="en-NZ"/>
              </w:rPr>
            </w:pPr>
            <w:r w:rsidRPr="0089563B">
              <w:t>1.8. Establish own capacity to provide treatment and take steps to organise assistance from other health professionals when need is indicated</w:t>
            </w:r>
            <w:r w:rsidRPr="0089563B">
              <w:t>.</w:t>
            </w:r>
          </w:p>
        </w:tc>
      </w:tr>
      <w:tr w:rsidTr="0089563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9563B">
            <w:pPr>
              <w:pStyle w:val="List"/>
              <w:rPr>
                <w:lang w:val="en-NZ"/>
              </w:rPr>
            </w:pPr>
            <w:r w:rsidRPr="0089563B">
              <w:t>2.  Implement medical emergency care.</w:t>
            </w:r>
          </w:p>
        </w:tc>
        <w:tc>
          <w:tcPr>
            <w:tcW w:w="6350" w:type="dxa"/>
            <w:tcBorders>
              <w:top w:val="nil"/>
              <w:left w:val="nil"/>
              <w:bottom w:val="nil"/>
              <w:right w:val="nil"/>
            </w:tcBorders>
            <w:tcMar>
              <w:top w:w="0" w:type="dxa"/>
              <w:left w:w="62" w:type="dxa"/>
              <w:bottom w:w="0" w:type="dxa"/>
              <w:right w:w="62" w:type="dxa"/>
            </w:tcMar>
          </w:tcPr>
          <w:p w:rsidR="00000000" w:rsidRPr="0089563B" w:rsidP="0089563B">
            <w:pPr>
              <w:pStyle w:val="List"/>
            </w:pPr>
            <w:r w:rsidRPr="0089563B">
              <w:t>2.1. Provide client and accompanying carers with clear information about treatment and its rationale and confirm understanding.</w:t>
            </w:r>
          </w:p>
          <w:p w:rsidR="00000000" w:rsidRPr="0089563B" w:rsidP="0089563B">
            <w:pPr>
              <w:pStyle w:val="List"/>
            </w:pPr>
            <w:r w:rsidRPr="0089563B">
              <w:t>2.2. Seek informed consent when condition allows and explain what this means.</w:t>
            </w:r>
          </w:p>
          <w:p w:rsidR="00000000" w:rsidRPr="0089563B" w:rsidP="0089563B">
            <w:pPr>
              <w:pStyle w:val="List"/>
            </w:pPr>
            <w:r w:rsidRPr="0089563B">
              <w:t>2.3. Administer emergency clinical treatments for presenting condition according to scope of practice and organisational standard treatment protocols or emergency procedures.</w:t>
            </w:r>
          </w:p>
          <w:p w:rsidR="00000000" w:rsidRPr="0089563B" w:rsidP="0089563B">
            <w:pPr>
              <w:pStyle w:val="List"/>
            </w:pPr>
            <w:r w:rsidRPr="0089563B">
              <w:t>2.4. Follow instructions from others when assistance has been sought for the trea</w:t>
            </w:r>
            <w:r w:rsidRPr="0089563B">
              <w:t>tment of the medical emergency.</w:t>
            </w:r>
          </w:p>
          <w:p w:rsidR="00000000" w:rsidRPr="0089563B" w:rsidP="0089563B">
            <w:pPr>
              <w:pStyle w:val="List"/>
            </w:pPr>
            <w:r w:rsidRPr="0089563B">
              <w:t>2.5. Select and use medical equipment suited to purpose of emergency treatment and according to manufacturer’s specifications.</w:t>
            </w:r>
          </w:p>
          <w:p w:rsidR="00000000" w:rsidP="0089563B">
            <w:pPr>
              <w:pStyle w:val="List"/>
              <w:rPr>
                <w:lang w:val="en-NZ"/>
              </w:rPr>
            </w:pPr>
            <w:r w:rsidRPr="0089563B">
              <w:t>2.6. Update client records accurately and according to organisational procedures.</w:t>
            </w:r>
          </w:p>
        </w:tc>
      </w:tr>
      <w:tr w:rsidTr="0089563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9563B">
            <w:pPr>
              <w:pStyle w:val="List"/>
              <w:rPr>
                <w:lang w:val="en-NZ"/>
              </w:rPr>
            </w:pPr>
            <w:r w:rsidRPr="0089563B">
              <w:t>3.  Monitor an</w:t>
            </w:r>
            <w:r w:rsidRPr="0089563B">
              <w:t>d report client clinical status.</w:t>
            </w:r>
          </w:p>
        </w:tc>
        <w:tc>
          <w:tcPr>
            <w:tcW w:w="6350" w:type="dxa"/>
            <w:tcBorders>
              <w:top w:val="nil"/>
              <w:left w:val="nil"/>
              <w:bottom w:val="nil"/>
              <w:right w:val="nil"/>
            </w:tcBorders>
            <w:tcMar>
              <w:top w:w="0" w:type="dxa"/>
              <w:left w:w="62" w:type="dxa"/>
              <w:bottom w:w="0" w:type="dxa"/>
              <w:right w:w="62" w:type="dxa"/>
            </w:tcMar>
          </w:tcPr>
          <w:p w:rsidR="00000000" w:rsidRPr="0089563B" w:rsidP="0089563B">
            <w:pPr>
              <w:pStyle w:val="List"/>
            </w:pPr>
            <w:r w:rsidRPr="0089563B">
              <w:t>3.1. Continuously observe client and identify changes and deterioration in clinical condition that may indicate the need for further and changed treatment.</w:t>
            </w:r>
          </w:p>
          <w:p w:rsidR="00000000" w:rsidRPr="0089563B" w:rsidP="0089563B">
            <w:pPr>
              <w:pStyle w:val="List"/>
            </w:pPr>
            <w:r w:rsidRPr="0089563B">
              <w:t>3.2. Adjust clinical treatments in response to monitoring according</w:t>
            </w:r>
            <w:r w:rsidRPr="0089563B">
              <w:t xml:space="preserve"> to scope of practice and organisational standard treatment protocols or emergency procedures.</w:t>
            </w:r>
          </w:p>
          <w:p w:rsidR="00000000" w:rsidRPr="0089563B" w:rsidP="0089563B">
            <w:pPr>
              <w:pStyle w:val="List"/>
            </w:pPr>
            <w:r w:rsidRPr="0089563B">
              <w:t xml:space="preserve">3.3. Maintain continuity of care until client’s emergency presentation is stabilised or clinical handover to other </w:t>
            </w:r>
            <w:r w:rsidRPr="0089563B">
              <w:t>medical service is completed.</w:t>
            </w:r>
          </w:p>
          <w:p w:rsidR="00000000" w:rsidRPr="0089563B" w:rsidP="0089563B">
            <w:pPr>
              <w:pStyle w:val="List"/>
            </w:pPr>
            <w:r w:rsidRPr="0089563B">
              <w:t>3.4. Convey accu</w:t>
            </w:r>
            <w:r w:rsidRPr="0089563B">
              <w:t>rate and complete information about the emergency presentation and treatment response to individuals involved in the client’s ongoing care.</w:t>
            </w:r>
          </w:p>
        </w:tc>
      </w:tr>
    </w:tbl>
    <w:p w:rsidR="00000000" w:rsidRPr="0089563B" w:rsidP="0089563B">
      <w:pPr>
        <w:pStyle w:val="BodyText"/>
      </w:pPr>
    </w:p>
    <w:p w:rsidR="00000000" w:rsidRPr="0089563B" w:rsidP="0089563B">
      <w:pPr>
        <w:pStyle w:val="AllowPageBreak"/>
      </w:pPr>
    </w:p>
    <w:p w:rsidR="00000000" w:rsidRPr="0089563B" w:rsidP="0089563B">
      <w:pPr>
        <w:pStyle w:val="Heading1"/>
      </w:pPr>
      <w:bookmarkStart w:id="7" w:name="O_1277114"/>
      <w:bookmarkEnd w:id="7"/>
      <w:r w:rsidRPr="0089563B">
        <w:t>Foundation Skills</w:t>
      </w:r>
    </w:p>
    <w:tbl>
      <w:tblPr>
        <w:tblW w:w="0" w:type="auto"/>
        <w:tblLayout w:type="fixed"/>
        <w:tblCellMar>
          <w:left w:w="62" w:type="dxa"/>
          <w:right w:w="62" w:type="dxa"/>
        </w:tblCellMar>
        <w:tblLook w:val="0000"/>
      </w:tblPr>
      <w:tblGrid>
        <w:gridCol w:w="2694"/>
        <w:gridCol w:w="6350"/>
      </w:tblGrid>
      <w:tr w:rsidTr="0089563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9563B">
            <w:pPr>
              <w:pStyle w:val="BodyText"/>
              <w:rPr>
                <w:lang w:val="en-NZ"/>
              </w:rPr>
            </w:pPr>
            <w:r w:rsidRPr="0089563B">
              <w:rPr>
                <w:rStyle w:val="Emphasis"/>
              </w:rPr>
              <w:t>Foundation skills essential to performance in this unit, but not explicit in the performance criteria are listed here, along with a brief context statement.</w:t>
            </w:r>
          </w:p>
        </w:tc>
      </w:tr>
      <w:tr w:rsidTr="008956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9563B" w:rsidP="0089563B">
            <w:pPr>
              <w:pStyle w:val="BodyText"/>
            </w:pPr>
            <w:r w:rsidRPr="0089563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9563B">
            <w:pPr>
              <w:pStyle w:val="BodyText"/>
              <w:rPr>
                <w:lang w:val="en-NZ"/>
              </w:rPr>
            </w:pPr>
            <w:r w:rsidRPr="0089563B">
              <w:rPr>
                <w:rStyle w:val="SpecialBold"/>
              </w:rPr>
              <w:t>DESCRIPTION</w:t>
            </w:r>
          </w:p>
        </w:tc>
      </w:tr>
      <w:tr w:rsidTr="008956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9563B">
            <w:pPr>
              <w:pStyle w:val="BodyText"/>
              <w:rPr>
                <w:lang w:val="en-NZ"/>
              </w:rPr>
            </w:pPr>
            <w:r w:rsidRPr="0089563B">
              <w:t>Reading skills to:</w:t>
            </w:r>
          </w:p>
        </w:tc>
        <w:tc>
          <w:tcPr>
            <w:tcW w:w="6350" w:type="dxa"/>
            <w:tcBorders>
              <w:top w:val="nil"/>
              <w:left w:val="nil"/>
              <w:bottom w:val="nil"/>
              <w:right w:val="nil"/>
            </w:tcBorders>
            <w:tcMar>
              <w:top w:w="0" w:type="dxa"/>
              <w:left w:w="62" w:type="dxa"/>
              <w:bottom w:w="0" w:type="dxa"/>
              <w:right w:w="62" w:type="dxa"/>
            </w:tcMar>
          </w:tcPr>
          <w:p w:rsidR="00000000" w:rsidP="0089563B">
            <w:pPr>
              <w:pStyle w:val="ListBullet"/>
              <w:rPr>
                <w:lang w:val="en-NZ"/>
              </w:rPr>
            </w:pPr>
            <w:r w:rsidRPr="0089563B">
              <w:t>interpret sometimes complex and unfamiliar standard treat</w:t>
            </w:r>
            <w:r w:rsidRPr="0089563B">
              <w:t>ment protocols and client records involving medical terminology and abbreviations.</w:t>
            </w:r>
          </w:p>
        </w:tc>
      </w:tr>
      <w:tr w:rsidTr="008956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9563B">
            <w:pPr>
              <w:pStyle w:val="BodyText"/>
              <w:rPr>
                <w:lang w:val="en-NZ"/>
              </w:rPr>
            </w:pPr>
            <w:r w:rsidRPr="0089563B">
              <w:t>Writing skills to:</w:t>
            </w:r>
          </w:p>
        </w:tc>
        <w:tc>
          <w:tcPr>
            <w:tcW w:w="6350" w:type="dxa"/>
            <w:tcBorders>
              <w:top w:val="nil"/>
              <w:left w:val="nil"/>
              <w:bottom w:val="nil"/>
              <w:right w:val="nil"/>
            </w:tcBorders>
            <w:tcMar>
              <w:top w:w="0" w:type="dxa"/>
              <w:left w:w="62" w:type="dxa"/>
              <w:bottom w:w="0" w:type="dxa"/>
              <w:right w:w="62" w:type="dxa"/>
            </w:tcMar>
          </w:tcPr>
          <w:p w:rsidR="00000000" w:rsidP="0089563B">
            <w:pPr>
              <w:pStyle w:val="ListBullet"/>
              <w:rPr>
                <w:lang w:val="en-NZ"/>
              </w:rPr>
            </w:pPr>
            <w:r w:rsidRPr="0089563B">
              <w:t>use fundamental sentence structure, health terminology and abbreviations to complete forms and reports that require factual information.</w:t>
            </w:r>
          </w:p>
        </w:tc>
      </w:tr>
      <w:tr w:rsidTr="008956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9563B">
            <w:pPr>
              <w:pStyle w:val="BodyText"/>
              <w:rPr>
                <w:lang w:val="en-NZ"/>
              </w:rPr>
            </w:pPr>
            <w:r w:rsidRPr="0089563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9563B" w:rsidP="0089563B">
            <w:pPr>
              <w:pStyle w:val="ListBullet"/>
            </w:pPr>
            <w:r w:rsidRPr="0089563B">
              <w:t>provide unambiguous information to clients and carers using plain language and terms easily understood</w:t>
            </w:r>
          </w:p>
          <w:p w:rsidR="00000000" w:rsidP="0089563B">
            <w:pPr>
              <w:pStyle w:val="ListBullet"/>
              <w:rPr>
                <w:lang w:val="en-NZ"/>
              </w:rPr>
            </w:pPr>
            <w:r w:rsidRPr="0089563B">
              <w:t>ask open and closed probe questions and actively listen to elicit information from clients and carers and determine unders</w:t>
            </w:r>
            <w:r w:rsidRPr="0089563B">
              <w:t>tanding of information provided.</w:t>
            </w:r>
          </w:p>
        </w:tc>
      </w:tr>
      <w:tr w:rsidTr="008956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9563B">
            <w:pPr>
              <w:pStyle w:val="BodyText"/>
              <w:rPr>
                <w:lang w:val="en-NZ"/>
              </w:rPr>
            </w:pPr>
            <w:r w:rsidRPr="0089563B">
              <w:t>Numeracy skills to:</w:t>
            </w:r>
          </w:p>
        </w:tc>
        <w:tc>
          <w:tcPr>
            <w:tcW w:w="6350" w:type="dxa"/>
            <w:tcBorders>
              <w:top w:val="nil"/>
              <w:left w:val="nil"/>
              <w:bottom w:val="nil"/>
              <w:right w:val="nil"/>
            </w:tcBorders>
            <w:tcMar>
              <w:top w:w="0" w:type="dxa"/>
              <w:left w:w="62" w:type="dxa"/>
              <w:bottom w:w="0" w:type="dxa"/>
              <w:right w:w="62" w:type="dxa"/>
            </w:tcMar>
          </w:tcPr>
          <w:p w:rsidR="00000000" w:rsidRPr="0089563B" w:rsidP="0089563B">
            <w:pPr>
              <w:pStyle w:val="ListBullet"/>
            </w:pPr>
            <w:r w:rsidRPr="0089563B">
              <w:t>interpret sometimes complex medical numerical data and abbreviations in standard treatment protocols and client records</w:t>
            </w:r>
          </w:p>
          <w:p w:rsidR="00000000" w:rsidP="0089563B">
            <w:pPr>
              <w:pStyle w:val="ListBullet"/>
              <w:rPr>
                <w:lang w:val="en-NZ"/>
              </w:rPr>
            </w:pPr>
            <w:r w:rsidRPr="0089563B">
              <w:t>take and record accurate measurements involving pressures, rates and degrees.</w:t>
            </w:r>
          </w:p>
        </w:tc>
      </w:tr>
      <w:tr w:rsidTr="008956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9563B">
            <w:pPr>
              <w:pStyle w:val="BodyText"/>
              <w:rPr>
                <w:lang w:val="en-NZ"/>
              </w:rPr>
            </w:pPr>
            <w:r w:rsidRPr="0089563B">
              <w:t>Te</w:t>
            </w:r>
            <w:r w:rsidRPr="0089563B">
              <w:t>chnology skills to:</w:t>
            </w:r>
          </w:p>
        </w:tc>
        <w:tc>
          <w:tcPr>
            <w:tcW w:w="6350" w:type="dxa"/>
            <w:tcBorders>
              <w:top w:val="nil"/>
              <w:left w:val="nil"/>
              <w:bottom w:val="nil"/>
              <w:right w:val="nil"/>
            </w:tcBorders>
            <w:tcMar>
              <w:top w:w="0" w:type="dxa"/>
              <w:left w:w="62" w:type="dxa"/>
              <w:bottom w:w="0" w:type="dxa"/>
              <w:right w:w="62" w:type="dxa"/>
            </w:tcMar>
          </w:tcPr>
          <w:p w:rsidR="00000000" w:rsidRPr="0089563B" w:rsidP="0089563B">
            <w:pPr>
              <w:pStyle w:val="ListBullet"/>
            </w:pPr>
            <w:r w:rsidRPr="0089563B">
              <w:t>select and use medical equipment suited to purpose of emergency health assessments and treatments.</w:t>
            </w:r>
          </w:p>
        </w:tc>
      </w:tr>
    </w:tbl>
    <w:p w:rsidR="00000000" w:rsidRPr="0089563B" w:rsidP="0089563B">
      <w:pPr>
        <w:pStyle w:val="BodyText"/>
      </w:pPr>
    </w:p>
    <w:p w:rsidR="00000000" w:rsidRPr="0089563B" w:rsidP="0089563B">
      <w:pPr>
        <w:pStyle w:val="AllowPageBreak"/>
      </w:pPr>
    </w:p>
    <w:p w:rsidR="00000000" w:rsidRPr="0089563B" w:rsidP="0089563B">
      <w:pPr>
        <w:pStyle w:val="Heading1"/>
      </w:pPr>
      <w:bookmarkStart w:id="8" w:name="O_1277113"/>
      <w:bookmarkEnd w:id="8"/>
      <w:r w:rsidRPr="0089563B">
        <w:t>Unit Mapping Information</w:t>
      </w:r>
    </w:p>
    <w:p w:rsidR="00000000" w:rsidRPr="0089563B" w:rsidP="002B28BE">
      <w:pPr>
        <w:pStyle w:val="BodyText"/>
      </w:pPr>
      <w:r w:rsidRPr="0089563B">
        <w:t>This unit supersedes and is not equivalent to HLTAHW013 Respond to emergencies.</w:t>
      </w:r>
    </w:p>
    <w:p w:rsidR="00000000" w:rsidRPr="0089563B" w:rsidP="0089563B">
      <w:pPr>
        <w:pStyle w:val="Heading1"/>
      </w:pPr>
      <w:bookmarkStart w:id="9" w:name="O_1277106"/>
      <w:bookmarkEnd w:id="9"/>
      <w:r w:rsidRPr="0089563B">
        <w:t>Links</w:t>
      </w:r>
    </w:p>
    <w:p w:rsidR="00000000" w:rsidRPr="0089563B" w:rsidP="002B28BE">
      <w:pPr>
        <w:pStyle w:val="BodyText"/>
      </w:pPr>
      <w:r w:rsidRPr="008956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20C83">
        <w:rPr>
          <w:rStyle w:val="Hyperlink"/>
        </w:rPr>
        <w:t>https://vetnet.gov.au/Pages/TrainingDocs.aspx?q=ced1390f-48d9-4ab0-bd50-b015e5485705</w:t>
      </w:r>
      <w:r>
        <w:fldChar w:fldCharType="end"/>
      </w:r>
    </w:p>
    <w:p w:rsidR="00000000" w:rsidRPr="0089563B" w:rsidP="0089563B"/>
    <w:sectPr w:rsidSect="008956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3B" w:rsidRPr="002B28BE" w:rsidP="002B2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BE" w:rsidP="00895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28BE" w:rsidP="0089563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B28BE" w:rsidP="008956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563B" w:rsidRPr="002B28BE" w:rsidP="002B28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BE" w:rsidRPr="002D2AF8" w:rsidP="0089563B">
    <w:pPr>
      <w:pStyle w:val="Header"/>
      <w:framePr w:wrap="around"/>
    </w:pPr>
    <w:r>
      <w:fldChar w:fldCharType="begin"/>
    </w:r>
    <w:r>
      <w:instrText xml:space="preserve"> TITLE   \* MERGEFORMAT </w:instrText>
    </w:r>
    <w:r>
      <w:fldChar w:fldCharType="separate"/>
    </w:r>
    <w:r>
      <w:t>HLTAEDR002 Assess and respond to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B28BE" w:rsidP="008956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486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5AB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63B"/>
    <w:pPr>
      <w:spacing w:before="360" w:after="60"/>
      <w:outlineLvl w:val="0"/>
    </w:pPr>
    <w:rPr>
      <w:sz w:val="32"/>
    </w:rPr>
  </w:style>
  <w:style w:type="paragraph" w:styleId="Heading2">
    <w:name w:val="heading 2"/>
    <w:basedOn w:val="HeadingBase"/>
    <w:next w:val="BodyText"/>
    <w:link w:val="Heading2Char"/>
    <w:qFormat/>
    <w:rsid w:val="0089563B"/>
    <w:pPr>
      <w:keepLines/>
      <w:spacing w:before="240" w:after="120"/>
      <w:outlineLvl w:val="1"/>
    </w:pPr>
    <w:rPr>
      <w:sz w:val="28"/>
      <w:szCs w:val="40"/>
    </w:rPr>
  </w:style>
  <w:style w:type="paragraph" w:styleId="Heading3">
    <w:name w:val="heading 3"/>
    <w:basedOn w:val="HeadingBase"/>
    <w:next w:val="BodyText"/>
    <w:link w:val="Heading3Char"/>
    <w:qFormat/>
    <w:rsid w:val="0089563B"/>
    <w:pPr>
      <w:spacing w:before="180" w:after="120"/>
      <w:outlineLvl w:val="2"/>
    </w:pPr>
    <w:rPr>
      <w:spacing w:val="-10"/>
      <w:kern w:val="32"/>
    </w:rPr>
  </w:style>
  <w:style w:type="paragraph" w:styleId="Heading4">
    <w:name w:val="heading 4"/>
    <w:basedOn w:val="HeadingBase"/>
    <w:next w:val="BodyText"/>
    <w:link w:val="Heading4Char"/>
    <w:qFormat/>
    <w:rsid w:val="0089563B"/>
    <w:pPr>
      <w:spacing w:before="160" w:after="120"/>
      <w:outlineLvl w:val="3"/>
    </w:pPr>
    <w:rPr>
      <w:sz w:val="22"/>
    </w:rPr>
  </w:style>
  <w:style w:type="paragraph" w:styleId="Heading5">
    <w:name w:val="heading 5"/>
    <w:basedOn w:val="HeadingBase"/>
    <w:next w:val="Normal"/>
    <w:link w:val="Heading5Char"/>
    <w:qFormat/>
    <w:rsid w:val="0089563B"/>
    <w:pPr>
      <w:spacing w:before="80"/>
      <w:outlineLvl w:val="4"/>
    </w:pPr>
    <w:rPr>
      <w:color w:val="918585"/>
      <w:sz w:val="20"/>
    </w:rPr>
  </w:style>
  <w:style w:type="paragraph" w:styleId="Heading6">
    <w:name w:val="heading 6"/>
    <w:basedOn w:val="HeadingBase"/>
    <w:next w:val="Normal"/>
    <w:link w:val="Heading6Char"/>
    <w:qFormat/>
    <w:rsid w:val="0089563B"/>
    <w:pPr>
      <w:spacing w:before="60"/>
      <w:outlineLvl w:val="5"/>
    </w:pPr>
    <w:rPr>
      <w:color w:val="918585"/>
      <w:sz w:val="20"/>
    </w:rPr>
  </w:style>
  <w:style w:type="paragraph" w:styleId="Heading7">
    <w:name w:val="heading 7"/>
    <w:basedOn w:val="Normal"/>
    <w:next w:val="Normal"/>
    <w:link w:val="Heading7Char"/>
    <w:qFormat/>
    <w:rsid w:val="0089563B"/>
    <w:pPr>
      <w:ind w:left="720"/>
      <w:outlineLvl w:val="6"/>
    </w:pPr>
    <w:rPr>
      <w:i/>
    </w:rPr>
  </w:style>
  <w:style w:type="paragraph" w:styleId="Heading8">
    <w:name w:val="heading 8"/>
    <w:basedOn w:val="Normal"/>
    <w:next w:val="Normal"/>
    <w:link w:val="Heading8Char"/>
    <w:qFormat/>
    <w:rsid w:val="0089563B"/>
    <w:pPr>
      <w:ind w:left="720"/>
      <w:outlineLvl w:val="7"/>
    </w:pPr>
    <w:rPr>
      <w:i/>
    </w:rPr>
  </w:style>
  <w:style w:type="paragraph" w:styleId="Heading9">
    <w:name w:val="heading 9"/>
    <w:basedOn w:val="Normal"/>
    <w:next w:val="Normal"/>
    <w:link w:val="Heading9Char"/>
    <w:qFormat/>
    <w:rsid w:val="0089563B"/>
    <w:pPr>
      <w:ind w:left="720"/>
      <w:outlineLvl w:val="8"/>
    </w:pPr>
    <w:rPr>
      <w:i/>
    </w:rPr>
  </w:style>
  <w:style w:type="character" w:default="1" w:styleId="DefaultParagraphFont">
    <w:name w:val="Default Paragraph Font"/>
    <w:uiPriority w:val="1"/>
    <w:unhideWhenUsed/>
    <w:rsid w:val="00895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63B"/>
  </w:style>
  <w:style w:type="character" w:customStyle="1" w:styleId="Heading1Char">
    <w:name w:val="Heading 1 Char"/>
    <w:basedOn w:val="DefaultParagraphFont"/>
    <w:link w:val="Heading1"/>
    <w:rsid w:val="0089563B"/>
    <w:rPr>
      <w:rFonts w:ascii="Times New Roman" w:eastAsia="Times New Roman" w:hAnsi="Times New Roman" w:cs="Times New Roman"/>
      <w:b/>
      <w:sz w:val="32"/>
      <w:szCs w:val="20"/>
      <w:lang w:eastAsia="en-US"/>
    </w:rPr>
  </w:style>
  <w:style w:type="paragraph" w:styleId="BodyText">
    <w:name w:val="Body Text"/>
    <w:basedOn w:val="Normal"/>
    <w:link w:val="BodyTextChar"/>
    <w:rsid w:val="008956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563B"/>
    <w:rPr>
      <w:rFonts w:ascii="Times New Roman" w:eastAsia="Times New Roman" w:hAnsi="Times New Roman" w:cs="Times New Roman"/>
      <w:sz w:val="24"/>
      <w:lang w:eastAsia="en-US"/>
    </w:rPr>
  </w:style>
  <w:style w:type="paragraph" w:styleId="List">
    <w:name w:val="List"/>
    <w:basedOn w:val="BodyText"/>
    <w:next w:val="BodyText"/>
    <w:rsid w:val="0089563B"/>
    <w:pPr>
      <w:tabs>
        <w:tab w:val="left" w:pos="340"/>
      </w:tabs>
      <w:spacing w:before="60" w:after="60"/>
      <w:ind w:left="340" w:hanging="340"/>
    </w:pPr>
  </w:style>
  <w:style w:type="paragraph" w:styleId="ListBullet">
    <w:name w:val="List Bullet"/>
    <w:basedOn w:val="List"/>
    <w:rsid w:val="0089563B"/>
    <w:pPr>
      <w:numPr>
        <w:numId w:val="11"/>
      </w:numPr>
      <w:tabs>
        <w:tab w:val="clear" w:pos="340"/>
      </w:tabs>
      <w:spacing w:before="40" w:after="40"/>
    </w:pPr>
  </w:style>
  <w:style w:type="character" w:customStyle="1" w:styleId="SpecialBold">
    <w:name w:val="Special Bold"/>
    <w:basedOn w:val="DefaultParagraphFont"/>
    <w:rsid w:val="0089563B"/>
    <w:rPr>
      <w:b/>
      <w:spacing w:val="0"/>
    </w:rPr>
  </w:style>
  <w:style w:type="character" w:styleId="Emphasis">
    <w:name w:val="Emphasis"/>
    <w:basedOn w:val="DefaultParagraphFont"/>
    <w:qFormat/>
    <w:rsid w:val="0089563B"/>
    <w:rPr>
      <w:i/>
    </w:rPr>
  </w:style>
  <w:style w:type="paragraph" w:customStyle="1" w:styleId="SuperHeading">
    <w:name w:val="SuperHeading"/>
    <w:basedOn w:val="Normal"/>
    <w:rsid w:val="0089563B"/>
    <w:pPr>
      <w:spacing w:before="240" w:after="120"/>
      <w:outlineLvl w:val="0"/>
    </w:pPr>
    <w:rPr>
      <w:rFonts w:ascii="Times New Roman" w:hAnsi="Times New Roman"/>
      <w:b/>
      <w:sz w:val="32"/>
    </w:rPr>
  </w:style>
  <w:style w:type="paragraph" w:customStyle="1" w:styleId="AllowPageBreak">
    <w:name w:val="AllowPageBreak"/>
    <w:rsid w:val="008956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6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6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63B"/>
    <w:rPr>
      <w:rFonts w:ascii="Courier New" w:eastAsia="Times New Roman" w:hAnsi="Courier New" w:cs="Times New Roman"/>
      <w:i/>
      <w:szCs w:val="20"/>
      <w:lang w:eastAsia="en-US"/>
    </w:rPr>
  </w:style>
  <w:style w:type="paragraph" w:customStyle="1" w:styleId="HeadingBase">
    <w:name w:val="Heading Base"/>
    <w:rsid w:val="00895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63B"/>
    <w:pPr>
      <w:tabs>
        <w:tab w:val="right" w:leader="dot" w:pos="9072"/>
      </w:tabs>
      <w:ind w:left="567"/>
    </w:pPr>
    <w:rPr>
      <w:szCs w:val="22"/>
    </w:rPr>
  </w:style>
  <w:style w:type="paragraph" w:customStyle="1" w:styleId="TOCBase">
    <w:name w:val="TOC Base"/>
    <w:rsid w:val="00895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63B"/>
    <w:pPr>
      <w:tabs>
        <w:tab w:val="right" w:leader="dot" w:pos="9072"/>
      </w:tabs>
      <w:spacing w:before="40" w:after="40"/>
      <w:ind w:left="284"/>
    </w:pPr>
    <w:rPr>
      <w:rFonts w:ascii="Times New Roman" w:hAnsi="Times New Roman"/>
    </w:rPr>
  </w:style>
  <w:style w:type="paragraph" w:styleId="TOC1">
    <w:name w:val="toc 1"/>
    <w:basedOn w:val="TOCBase"/>
    <w:next w:val="Normal"/>
    <w:rsid w:val="008956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63B"/>
    <w:rPr>
      <w:rFonts w:ascii="Times New Roman" w:eastAsia="Times New Roman" w:hAnsi="Times New Roman" w:cs="Times New Roman"/>
      <w:sz w:val="16"/>
      <w:lang w:eastAsia="en-US"/>
    </w:rPr>
  </w:style>
  <w:style w:type="paragraph" w:styleId="Title">
    <w:name w:val="Title"/>
    <w:basedOn w:val="HeadingBase"/>
    <w:link w:val="TitleChar"/>
    <w:qFormat/>
    <w:rsid w:val="0089563B"/>
    <w:pPr>
      <w:spacing w:before="5040"/>
      <w:jc w:val="center"/>
    </w:pPr>
    <w:rPr>
      <w:sz w:val="48"/>
      <w:szCs w:val="72"/>
      <w:lang w:val="en-US"/>
    </w:rPr>
  </w:style>
  <w:style w:type="character" w:customStyle="1" w:styleId="TitleChar">
    <w:name w:val="Title Char"/>
    <w:basedOn w:val="DefaultParagraphFont"/>
    <w:link w:val="Title"/>
    <w:rsid w:val="00895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63B"/>
    <w:pPr>
      <w:tabs>
        <w:tab w:val="left" w:pos="3600"/>
        <w:tab w:val="left" w:pos="3958"/>
      </w:tabs>
    </w:pPr>
  </w:style>
  <w:style w:type="paragraph" w:customStyle="1" w:styleId="Note">
    <w:name w:val="Note"/>
    <w:basedOn w:val="BodyText"/>
    <w:rsid w:val="00895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63B"/>
    <w:pPr>
      <w:framePr w:wrap="auto" w:hAnchor="text" w:y="6049"/>
    </w:pPr>
    <w:rPr>
      <w:color w:val="000000"/>
      <w:sz w:val="40"/>
    </w:rPr>
  </w:style>
  <w:style w:type="paragraph" w:customStyle="1" w:styleId="TOCTitle">
    <w:name w:val="TOCTitle"/>
    <w:basedOn w:val="Heading1"/>
    <w:rsid w:val="0089563B"/>
    <w:pPr>
      <w:spacing w:after="240"/>
      <w:jc w:val="center"/>
      <w:outlineLvl w:val="9"/>
    </w:pPr>
    <w:rPr>
      <w:caps/>
    </w:rPr>
  </w:style>
  <w:style w:type="paragraph" w:customStyle="1" w:styleId="Version">
    <w:name w:val="Version"/>
    <w:rsid w:val="008956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63B"/>
    <w:pPr>
      <w:numPr>
        <w:numId w:val="12"/>
      </w:numPr>
      <w:tabs>
        <w:tab w:val="clear" w:pos="680"/>
      </w:tabs>
    </w:pPr>
  </w:style>
  <w:style w:type="paragraph" w:styleId="Index1">
    <w:name w:val="index 1"/>
    <w:basedOn w:val="Normal"/>
    <w:next w:val="Normal"/>
    <w:semiHidden/>
    <w:rsid w:val="0089563B"/>
    <w:pPr>
      <w:keepNext w:val="0"/>
      <w:tabs>
        <w:tab w:val="right" w:pos="4176"/>
      </w:tabs>
      <w:ind w:left="198" w:hanging="198"/>
    </w:pPr>
    <w:rPr>
      <w:rFonts w:ascii="Garamond" w:hAnsi="Garamond"/>
    </w:rPr>
  </w:style>
  <w:style w:type="paragraph" w:styleId="IndexHeading">
    <w:name w:val="index heading"/>
    <w:basedOn w:val="Normal"/>
    <w:next w:val="Index1"/>
    <w:semiHidden/>
    <w:rsid w:val="0089563B"/>
    <w:pPr>
      <w:spacing w:before="120" w:after="120"/>
    </w:pPr>
    <w:rPr>
      <w:rFonts w:ascii="Arial" w:hAnsi="Arial"/>
      <w:b/>
      <w:color w:val="918585"/>
      <w:sz w:val="24"/>
    </w:rPr>
  </w:style>
  <w:style w:type="paragraph" w:styleId="Header">
    <w:name w:val="header"/>
    <w:basedOn w:val="Normal"/>
    <w:link w:val="HeaderChar"/>
    <w:rsid w:val="00895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63B"/>
    <w:rPr>
      <w:rFonts w:ascii="Times New Roman" w:eastAsia="Times New Roman" w:hAnsi="Times New Roman" w:cs="Times New Roman"/>
      <w:sz w:val="16"/>
      <w:szCs w:val="20"/>
      <w:lang w:val="en-GB" w:eastAsia="en-US"/>
    </w:rPr>
  </w:style>
  <w:style w:type="paragraph" w:customStyle="1" w:styleId="Chapter">
    <w:name w:val="Chapter"/>
    <w:basedOn w:val="Normal"/>
    <w:rsid w:val="0089563B"/>
    <w:pPr>
      <w:spacing w:before="240"/>
    </w:pPr>
    <w:rPr>
      <w:rFonts w:ascii="Times New Roman" w:hAnsi="Times New Roman"/>
      <w:smallCaps/>
      <w:spacing w:val="80"/>
      <w:sz w:val="28"/>
    </w:rPr>
  </w:style>
  <w:style w:type="paragraph" w:customStyle="1" w:styleId="InChapter">
    <w:name w:val="InChapter"/>
    <w:basedOn w:val="Heading3"/>
    <w:rsid w:val="0089563B"/>
    <w:pPr>
      <w:spacing w:after="240"/>
      <w:outlineLvl w:val="9"/>
    </w:pPr>
    <w:rPr>
      <w:noProof/>
    </w:rPr>
  </w:style>
  <w:style w:type="paragraph" w:styleId="Index2">
    <w:name w:val="index 2"/>
    <w:basedOn w:val="Normal"/>
    <w:next w:val="Normal"/>
    <w:semiHidden/>
    <w:rsid w:val="0089563B"/>
    <w:pPr>
      <w:tabs>
        <w:tab w:val="right" w:pos="4176"/>
      </w:tabs>
      <w:ind w:left="568" w:hanging="284"/>
    </w:pPr>
    <w:rPr>
      <w:rFonts w:ascii="Garamond" w:hAnsi="Garamond"/>
    </w:rPr>
  </w:style>
  <w:style w:type="paragraph" w:customStyle="1" w:styleId="Byline">
    <w:name w:val="Byline"/>
    <w:rsid w:val="00895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63B"/>
    <w:pPr>
      <w:tabs>
        <w:tab w:val="clear" w:pos="3600"/>
        <w:tab w:val="clear" w:pos="3958"/>
      </w:tabs>
      <w:jc w:val="right"/>
    </w:pPr>
  </w:style>
  <w:style w:type="paragraph" w:styleId="Caption">
    <w:name w:val="caption"/>
    <w:basedOn w:val="BodyText"/>
    <w:next w:val="Normal"/>
    <w:qFormat/>
    <w:rsid w:val="0089563B"/>
    <w:pPr>
      <w:framePr w:w="2268" w:hSpace="181" w:vSpace="181" w:wrap="around" w:vAnchor="text" w:hAnchor="page" w:x="1135" w:y="285" w:anchorLock="1"/>
    </w:pPr>
    <w:rPr>
      <w:i/>
    </w:rPr>
  </w:style>
  <w:style w:type="paragraph" w:customStyle="1" w:styleId="MiniTOCTitle">
    <w:name w:val="MiniTOCTitle"/>
    <w:basedOn w:val="Heading4"/>
    <w:rsid w:val="0089563B"/>
    <w:pPr>
      <w:spacing w:before="240"/>
      <w:outlineLvl w:val="9"/>
    </w:pPr>
    <w:rPr>
      <w:noProof/>
      <w:sz w:val="24"/>
    </w:rPr>
  </w:style>
  <w:style w:type="paragraph" w:customStyle="1" w:styleId="MiniTOCItem">
    <w:name w:val="MiniTOCItem"/>
    <w:basedOn w:val="ListBullet"/>
    <w:rsid w:val="0089563B"/>
    <w:pPr>
      <w:numPr>
        <w:numId w:val="0"/>
      </w:numPr>
      <w:tabs>
        <w:tab w:val="right" w:leader="dot" w:pos="6521"/>
      </w:tabs>
      <w:spacing w:before="0" w:after="0"/>
    </w:pPr>
  </w:style>
  <w:style w:type="paragraph" w:customStyle="1" w:styleId="TOFTitle">
    <w:name w:val="TOFTitle"/>
    <w:basedOn w:val="TOCTitle"/>
    <w:rsid w:val="0089563B"/>
  </w:style>
  <w:style w:type="paragraph" w:styleId="TableofFigures">
    <w:name w:val="table of figures"/>
    <w:basedOn w:val="Normal"/>
    <w:next w:val="Normal"/>
    <w:semiHidden/>
    <w:rsid w:val="0089563B"/>
    <w:pPr>
      <w:tabs>
        <w:tab w:val="right" w:leader="dot" w:pos="9072"/>
      </w:tabs>
      <w:ind w:left="970" w:hanging="403"/>
    </w:pPr>
    <w:rPr>
      <w:rFonts w:ascii="Times New Roman" w:hAnsi="Times New Roman"/>
      <w:b/>
    </w:rPr>
  </w:style>
  <w:style w:type="paragraph" w:styleId="ListNumber">
    <w:name w:val="List Number"/>
    <w:basedOn w:val="List"/>
    <w:rsid w:val="0089563B"/>
    <w:pPr>
      <w:numPr>
        <w:numId w:val="14"/>
      </w:numPr>
      <w:tabs>
        <w:tab w:val="clear" w:pos="340"/>
      </w:tabs>
    </w:pPr>
  </w:style>
  <w:style w:type="character" w:customStyle="1" w:styleId="WingdingSymbols">
    <w:name w:val="Wingding Symbols"/>
    <w:rsid w:val="0089563B"/>
    <w:rPr>
      <w:rFonts w:ascii="Wingdings" w:hAnsi="Wingdings"/>
    </w:rPr>
  </w:style>
  <w:style w:type="paragraph" w:customStyle="1" w:styleId="TableHeading">
    <w:name w:val="Table Heading"/>
    <w:basedOn w:val="HeadingBase"/>
    <w:rsid w:val="0089563B"/>
    <w:pPr>
      <w:keepLines/>
      <w:pBdr>
        <w:bottom w:val="single" w:sz="6" w:space="1" w:color="918585"/>
      </w:pBdr>
      <w:spacing w:before="240"/>
    </w:pPr>
  </w:style>
  <w:style w:type="character" w:customStyle="1" w:styleId="HotSpot">
    <w:name w:val="HotSpot"/>
    <w:rsid w:val="0089563B"/>
    <w:rPr>
      <w:color w:val="0033CC"/>
      <w:u w:val="none"/>
    </w:rPr>
  </w:style>
  <w:style w:type="paragraph" w:customStyle="1" w:styleId="BodyTextRight">
    <w:name w:val="Body Text Right"/>
    <w:basedOn w:val="BodyText"/>
    <w:rsid w:val="0089563B"/>
    <w:pPr>
      <w:spacing w:before="0" w:after="0"/>
      <w:jc w:val="right"/>
    </w:pPr>
  </w:style>
  <w:style w:type="paragraph" w:styleId="Index3">
    <w:name w:val="index 3"/>
    <w:basedOn w:val="ListNumber2"/>
    <w:next w:val="Normal"/>
    <w:semiHidden/>
    <w:rsid w:val="0089563B"/>
    <w:pPr>
      <w:numPr>
        <w:numId w:val="0"/>
      </w:numPr>
      <w:tabs>
        <w:tab w:val="right" w:leader="dot" w:pos="4176"/>
      </w:tabs>
    </w:pPr>
  </w:style>
  <w:style w:type="paragraph" w:styleId="ListNumber2">
    <w:name w:val="List Number 2"/>
    <w:basedOn w:val="List2"/>
    <w:rsid w:val="0089563B"/>
    <w:pPr>
      <w:numPr>
        <w:numId w:val="9"/>
      </w:numPr>
      <w:tabs>
        <w:tab w:val="clear" w:pos="1060"/>
      </w:tabs>
    </w:pPr>
  </w:style>
  <w:style w:type="paragraph" w:customStyle="1" w:styleId="MarginNote">
    <w:name w:val="Margin Note"/>
    <w:basedOn w:val="BodyText"/>
    <w:rsid w:val="00895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6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63B"/>
    <w:rPr>
      <w:sz w:val="32"/>
    </w:rPr>
  </w:style>
  <w:style w:type="paragraph" w:customStyle="1" w:styleId="HeadingProcedure">
    <w:name w:val="Heading Procedure"/>
    <w:basedOn w:val="HeadingBase"/>
    <w:next w:val="Normal"/>
    <w:rsid w:val="0089563B"/>
    <w:pPr>
      <w:tabs>
        <w:tab w:val="left" w:pos="0"/>
      </w:tabs>
      <w:spacing w:before="120" w:after="60"/>
    </w:pPr>
    <w:rPr>
      <w:i/>
      <w:color w:val="918585"/>
      <w:sz w:val="22"/>
    </w:rPr>
  </w:style>
  <w:style w:type="paragraph" w:customStyle="1" w:styleId="TableBodyText">
    <w:name w:val="Table Body Text"/>
    <w:basedOn w:val="BodyText"/>
    <w:rsid w:val="0089563B"/>
    <w:pPr>
      <w:spacing w:before="60" w:after="60"/>
    </w:pPr>
  </w:style>
  <w:style w:type="paragraph" w:styleId="ListContinue">
    <w:name w:val="List Continue"/>
    <w:basedOn w:val="List"/>
    <w:rsid w:val="0089563B"/>
    <w:pPr>
      <w:ind w:firstLine="0"/>
    </w:pPr>
  </w:style>
  <w:style w:type="paragraph" w:customStyle="1" w:styleId="ListNote">
    <w:name w:val="List Note"/>
    <w:basedOn w:val="List"/>
    <w:rsid w:val="0089563B"/>
    <w:pPr>
      <w:pBdr>
        <w:top w:val="single" w:sz="6" w:space="2" w:color="918585"/>
        <w:bottom w:val="single" w:sz="6" w:space="2" w:color="918585"/>
      </w:pBdr>
      <w:tabs>
        <w:tab w:val="left" w:pos="1021"/>
      </w:tabs>
      <w:ind w:firstLine="0"/>
    </w:pPr>
  </w:style>
  <w:style w:type="paragraph" w:customStyle="1" w:styleId="Warning">
    <w:name w:val="Warning"/>
    <w:basedOn w:val="BodyText"/>
    <w:rsid w:val="0089563B"/>
    <w:pPr>
      <w:shd w:val="clear" w:color="auto" w:fill="D9D9D9"/>
      <w:tabs>
        <w:tab w:val="left" w:pos="992"/>
      </w:tabs>
      <w:ind w:left="119" w:right="119"/>
    </w:pPr>
    <w:rPr>
      <w:sz w:val="20"/>
    </w:rPr>
  </w:style>
  <w:style w:type="paragraph" w:customStyle="1" w:styleId="MarginIcons">
    <w:name w:val="Margin Icons"/>
    <w:basedOn w:val="BodyText"/>
    <w:rsid w:val="00895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63B"/>
    <w:rPr>
      <w:rFonts w:ascii="Courier New" w:hAnsi="Courier New"/>
    </w:rPr>
  </w:style>
  <w:style w:type="paragraph" w:customStyle="1" w:styleId="NoteBullet">
    <w:name w:val="Note Bullet"/>
    <w:basedOn w:val="Note"/>
    <w:rsid w:val="0089563B"/>
    <w:pPr>
      <w:tabs>
        <w:tab w:val="clear" w:pos="680"/>
      </w:tabs>
      <w:spacing w:before="60" w:after="60"/>
    </w:pPr>
  </w:style>
  <w:style w:type="paragraph" w:customStyle="1" w:styleId="SubHeading2">
    <w:name w:val="SubHeading2"/>
    <w:basedOn w:val="HeadingBase"/>
    <w:rsid w:val="0089563B"/>
    <w:pPr>
      <w:spacing w:before="240" w:after="60"/>
    </w:pPr>
    <w:rPr>
      <w:sz w:val="20"/>
    </w:rPr>
  </w:style>
  <w:style w:type="paragraph" w:customStyle="1" w:styleId="SubHeading1">
    <w:name w:val="SubHeading1"/>
    <w:basedOn w:val="HeadingBase"/>
    <w:rsid w:val="0089563B"/>
    <w:pPr>
      <w:spacing w:before="240" w:after="60"/>
    </w:pPr>
    <w:rPr>
      <w:color w:val="918585"/>
      <w:sz w:val="22"/>
    </w:rPr>
  </w:style>
  <w:style w:type="paragraph" w:customStyle="1" w:styleId="SideHeading">
    <w:name w:val="Side Heading"/>
    <w:basedOn w:val="HeadingBase"/>
    <w:rsid w:val="00895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63B"/>
    <w:pPr>
      <w:numPr>
        <w:numId w:val="10"/>
      </w:numPr>
    </w:pPr>
  </w:style>
  <w:style w:type="paragraph" w:styleId="PlainText">
    <w:name w:val="Plain Text"/>
    <w:basedOn w:val="Normal"/>
    <w:link w:val="PlainTextChar"/>
    <w:rsid w:val="0089563B"/>
    <w:rPr>
      <w:sz w:val="20"/>
    </w:rPr>
  </w:style>
  <w:style w:type="character" w:customStyle="1" w:styleId="PlainTextChar">
    <w:name w:val="Plain Text Char"/>
    <w:basedOn w:val="DefaultParagraphFont"/>
    <w:link w:val="PlainText"/>
    <w:rsid w:val="0089563B"/>
    <w:rPr>
      <w:rFonts w:ascii="Courier New" w:eastAsia="Times New Roman" w:hAnsi="Courier New" w:cs="Times New Roman"/>
      <w:sz w:val="20"/>
      <w:szCs w:val="20"/>
      <w:lang w:eastAsia="en-US"/>
    </w:rPr>
  </w:style>
  <w:style w:type="character" w:customStyle="1" w:styleId="MenuOption">
    <w:name w:val="Menu Option"/>
    <w:basedOn w:val="DefaultParagraphFont"/>
    <w:rsid w:val="0089563B"/>
    <w:rPr>
      <w:b/>
      <w:smallCaps/>
    </w:rPr>
  </w:style>
  <w:style w:type="paragraph" w:customStyle="1" w:styleId="TableListNumber">
    <w:name w:val="Table List Number"/>
    <w:basedOn w:val="ListNumber"/>
    <w:rsid w:val="0089563B"/>
    <w:pPr>
      <w:numPr>
        <w:numId w:val="0"/>
      </w:numPr>
    </w:pPr>
  </w:style>
  <w:style w:type="paragraph" w:styleId="TOC4">
    <w:name w:val="toc 4"/>
    <w:basedOn w:val="TOCBase"/>
    <w:next w:val="Normal"/>
    <w:semiHidden/>
    <w:rsid w:val="0089563B"/>
    <w:pPr>
      <w:tabs>
        <w:tab w:val="right" w:leader="dot" w:pos="9071"/>
      </w:tabs>
      <w:ind w:left="1701"/>
    </w:pPr>
  </w:style>
  <w:style w:type="paragraph" w:customStyle="1" w:styleId="ListAlpha">
    <w:name w:val="List Alpha"/>
    <w:basedOn w:val="List"/>
    <w:rsid w:val="0089563B"/>
    <w:pPr>
      <w:numPr>
        <w:numId w:val="8"/>
      </w:numPr>
    </w:pPr>
  </w:style>
  <w:style w:type="paragraph" w:customStyle="1" w:styleId="ListAlpha2">
    <w:name w:val="List Alpha 2"/>
    <w:basedOn w:val="List2"/>
    <w:rsid w:val="0089563B"/>
    <w:pPr>
      <w:numPr>
        <w:numId w:val="7"/>
      </w:numPr>
    </w:pPr>
  </w:style>
  <w:style w:type="paragraph" w:styleId="List2">
    <w:name w:val="List 2"/>
    <w:basedOn w:val="BodyText"/>
    <w:rsid w:val="0089563B"/>
    <w:pPr>
      <w:tabs>
        <w:tab w:val="left" w:pos="680"/>
      </w:tabs>
      <w:spacing w:before="60" w:after="60"/>
      <w:ind w:left="680" w:hanging="340"/>
    </w:pPr>
  </w:style>
  <w:style w:type="paragraph" w:styleId="List3">
    <w:name w:val="List 3"/>
    <w:basedOn w:val="BodyText"/>
    <w:rsid w:val="0089563B"/>
    <w:pPr>
      <w:tabs>
        <w:tab w:val="left" w:pos="1021"/>
      </w:tabs>
      <w:spacing w:before="60" w:after="60"/>
      <w:ind w:left="1020" w:hanging="340"/>
    </w:pPr>
  </w:style>
  <w:style w:type="paragraph" w:styleId="List4">
    <w:name w:val="List 4"/>
    <w:basedOn w:val="BodyText"/>
    <w:rsid w:val="0089563B"/>
    <w:pPr>
      <w:tabs>
        <w:tab w:val="left" w:pos="1361"/>
      </w:tabs>
      <w:spacing w:before="60" w:after="60"/>
      <w:ind w:left="1361" w:hanging="340"/>
    </w:pPr>
  </w:style>
  <w:style w:type="paragraph" w:styleId="List5">
    <w:name w:val="List 5"/>
    <w:basedOn w:val="BodyText"/>
    <w:rsid w:val="0089563B"/>
    <w:pPr>
      <w:tabs>
        <w:tab w:val="left" w:pos="1701"/>
      </w:tabs>
      <w:spacing w:before="60" w:after="60"/>
      <w:ind w:left="1701" w:hanging="340"/>
    </w:pPr>
  </w:style>
  <w:style w:type="paragraph" w:styleId="ListBullet3">
    <w:name w:val="List Bullet 3"/>
    <w:basedOn w:val="List3"/>
    <w:rsid w:val="0089563B"/>
    <w:pPr>
      <w:numPr>
        <w:numId w:val="13"/>
      </w:numPr>
      <w:tabs>
        <w:tab w:val="clear" w:pos="1021"/>
      </w:tabs>
      <w:ind w:left="1037" w:hanging="357"/>
    </w:pPr>
  </w:style>
  <w:style w:type="paragraph" w:styleId="ListBullet4">
    <w:name w:val="List Bullet 4"/>
    <w:basedOn w:val="List4"/>
    <w:rsid w:val="0089563B"/>
    <w:pPr>
      <w:numPr>
        <w:numId w:val="2"/>
      </w:numPr>
      <w:tabs>
        <w:tab w:val="clear" w:pos="1361"/>
      </w:tabs>
    </w:pPr>
  </w:style>
  <w:style w:type="paragraph" w:styleId="ListBullet5">
    <w:name w:val="List Bullet 5"/>
    <w:basedOn w:val="List5"/>
    <w:rsid w:val="0089563B"/>
    <w:pPr>
      <w:numPr>
        <w:numId w:val="3"/>
      </w:numPr>
    </w:pPr>
  </w:style>
  <w:style w:type="paragraph" w:styleId="ListContinue2">
    <w:name w:val="List Continue 2"/>
    <w:basedOn w:val="List2"/>
    <w:rsid w:val="0089563B"/>
    <w:pPr>
      <w:ind w:firstLine="0"/>
    </w:pPr>
  </w:style>
  <w:style w:type="paragraph" w:styleId="ListContinue3">
    <w:name w:val="List Continue 3"/>
    <w:basedOn w:val="List3"/>
    <w:rsid w:val="0089563B"/>
    <w:pPr>
      <w:ind w:left="1021" w:firstLine="0"/>
    </w:pPr>
  </w:style>
  <w:style w:type="paragraph" w:styleId="ListContinue4">
    <w:name w:val="List Continue 4"/>
    <w:basedOn w:val="List4"/>
    <w:rsid w:val="0089563B"/>
    <w:pPr>
      <w:ind w:firstLine="0"/>
    </w:pPr>
  </w:style>
  <w:style w:type="paragraph" w:styleId="ListContinue5">
    <w:name w:val="List Continue 5"/>
    <w:basedOn w:val="List5"/>
    <w:rsid w:val="0089563B"/>
    <w:pPr>
      <w:ind w:firstLine="0"/>
    </w:pPr>
  </w:style>
  <w:style w:type="paragraph" w:styleId="ListNumber3">
    <w:name w:val="List Number 3"/>
    <w:basedOn w:val="List3"/>
    <w:rsid w:val="0089563B"/>
    <w:pPr>
      <w:numPr>
        <w:numId w:val="4"/>
      </w:numPr>
    </w:pPr>
  </w:style>
  <w:style w:type="paragraph" w:styleId="ListNumber4">
    <w:name w:val="List Number 4"/>
    <w:basedOn w:val="List4"/>
    <w:rsid w:val="0089563B"/>
    <w:pPr>
      <w:numPr>
        <w:numId w:val="5"/>
      </w:numPr>
    </w:pPr>
  </w:style>
  <w:style w:type="paragraph" w:styleId="ListNumber5">
    <w:name w:val="List Number 5"/>
    <w:basedOn w:val="List5"/>
    <w:rsid w:val="0089563B"/>
    <w:pPr>
      <w:numPr>
        <w:numId w:val="6"/>
      </w:numPr>
    </w:pPr>
  </w:style>
  <w:style w:type="paragraph" w:styleId="BlockText">
    <w:name w:val="Block Text"/>
    <w:basedOn w:val="Normal"/>
    <w:rsid w:val="0089563B"/>
    <w:pPr>
      <w:spacing w:after="120"/>
      <w:ind w:left="1440" w:right="1440"/>
    </w:pPr>
  </w:style>
  <w:style w:type="character" w:customStyle="1" w:styleId="Subscript">
    <w:name w:val="Subscript"/>
    <w:basedOn w:val="DefaultParagraphFont"/>
    <w:rsid w:val="0089563B"/>
    <w:rPr>
      <w:sz w:val="16"/>
      <w:vertAlign w:val="subscript"/>
    </w:rPr>
  </w:style>
  <w:style w:type="character" w:customStyle="1" w:styleId="Superscript">
    <w:name w:val="Superscript"/>
    <w:basedOn w:val="DefaultParagraphFont"/>
    <w:rsid w:val="0089563B"/>
    <w:rPr>
      <w:sz w:val="16"/>
      <w:vertAlign w:val="superscript"/>
    </w:rPr>
  </w:style>
  <w:style w:type="character" w:customStyle="1" w:styleId="Symbols">
    <w:name w:val="Symbols"/>
    <w:basedOn w:val="DefaultParagraphFont"/>
    <w:rsid w:val="0089563B"/>
    <w:rPr>
      <w:rFonts w:ascii="Symbol" w:hAnsi="Symbol"/>
    </w:rPr>
  </w:style>
  <w:style w:type="character" w:customStyle="1" w:styleId="MenuOptions">
    <w:name w:val="Menu Options"/>
    <w:basedOn w:val="DefaultParagraphFont"/>
    <w:rsid w:val="0089563B"/>
    <w:rPr>
      <w:rFonts w:ascii="Arial Narrow" w:hAnsi="Arial Narrow"/>
      <w:smallCaps/>
    </w:rPr>
  </w:style>
  <w:style w:type="character" w:customStyle="1" w:styleId="Buttons">
    <w:name w:val="Buttons"/>
    <w:basedOn w:val="DefaultParagraphFont"/>
    <w:rsid w:val="0089563B"/>
    <w:rPr>
      <w:b/>
    </w:rPr>
  </w:style>
  <w:style w:type="character" w:customStyle="1" w:styleId="Underlined">
    <w:name w:val="Underlined"/>
    <w:basedOn w:val="DefaultParagraphFont"/>
    <w:rsid w:val="0089563B"/>
    <w:rPr>
      <w:u w:val="single"/>
    </w:rPr>
  </w:style>
  <w:style w:type="paragraph" w:customStyle="1" w:styleId="TableBodyTextRight">
    <w:name w:val="Table Body Text Right"/>
    <w:basedOn w:val="TableBodyText"/>
    <w:rsid w:val="0089563B"/>
    <w:pPr>
      <w:widowControl w:val="0"/>
      <w:autoSpaceDE w:val="0"/>
      <w:autoSpaceDN w:val="0"/>
      <w:adjustRightInd w:val="0"/>
      <w:jc w:val="right"/>
    </w:pPr>
    <w:rPr>
      <w:rFonts w:cs="Arial"/>
      <w:szCs w:val="18"/>
    </w:rPr>
  </w:style>
  <w:style w:type="paragraph" w:customStyle="1" w:styleId="CopyrightText">
    <w:name w:val="Copyright Text"/>
    <w:basedOn w:val="BodyText"/>
    <w:rsid w:val="0089563B"/>
    <w:rPr>
      <w:sz w:val="18"/>
    </w:rPr>
  </w:style>
  <w:style w:type="paragraph" w:customStyle="1" w:styleId="BodySmallRight">
    <w:name w:val="Body Small Right"/>
    <w:basedOn w:val="BodyTextRight"/>
    <w:rsid w:val="0089563B"/>
    <w:rPr>
      <w:sz w:val="18"/>
      <w:szCs w:val="18"/>
    </w:rPr>
  </w:style>
  <w:style w:type="paragraph" w:customStyle="1" w:styleId="MarginEdition">
    <w:name w:val="Margin Edition"/>
    <w:basedOn w:val="MarginNote"/>
    <w:rsid w:val="0089563B"/>
    <w:pPr>
      <w:spacing w:before="0" w:after="0"/>
    </w:pPr>
    <w:rPr>
      <w:rFonts w:ascii="Times New Roman" w:hAnsi="Times New Roman"/>
      <w:color w:val="999999"/>
    </w:rPr>
  </w:style>
  <w:style w:type="paragraph" w:customStyle="1" w:styleId="Spacer">
    <w:name w:val="Spacer"/>
    <w:basedOn w:val="Normal"/>
    <w:rsid w:val="0089563B"/>
    <w:rPr>
      <w:sz w:val="2"/>
      <w:szCs w:val="2"/>
    </w:rPr>
  </w:style>
  <w:style w:type="character" w:customStyle="1" w:styleId="Small">
    <w:name w:val="Small"/>
    <w:basedOn w:val="DefaultParagraphFont"/>
    <w:rsid w:val="0089563B"/>
    <w:rPr>
      <w:sz w:val="16"/>
    </w:rPr>
  </w:style>
  <w:style w:type="paragraph" w:customStyle="1" w:styleId="WideTable">
    <w:name w:val="Wide Table"/>
    <w:basedOn w:val="Normal"/>
    <w:rsid w:val="0089563B"/>
    <w:pPr>
      <w:ind w:left="-1418"/>
    </w:pPr>
    <w:rPr>
      <w:sz w:val="2"/>
      <w:szCs w:val="2"/>
    </w:rPr>
  </w:style>
  <w:style w:type="character" w:styleId="PageNumber">
    <w:name w:val="page number"/>
    <w:basedOn w:val="DefaultParagraphFont"/>
    <w:rsid w:val="0089563B"/>
  </w:style>
  <w:style w:type="paragraph" w:styleId="Quote">
    <w:name w:val="Quote"/>
    <w:basedOn w:val="Heading1"/>
    <w:link w:val="QuoteChar"/>
    <w:qFormat/>
    <w:rsid w:val="0089563B"/>
    <w:rPr>
      <w:b w:val="0"/>
      <w:sz w:val="72"/>
      <w:szCs w:val="72"/>
      <w:lang w:val="en-NZ"/>
    </w:rPr>
  </w:style>
  <w:style w:type="character" w:customStyle="1" w:styleId="QuoteChar">
    <w:name w:val="Quote Char"/>
    <w:basedOn w:val="DefaultParagraphFont"/>
    <w:link w:val="Quote"/>
    <w:rsid w:val="00895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63B"/>
    <w:pPr>
      <w:pageBreakBefore/>
    </w:pPr>
  </w:style>
  <w:style w:type="paragraph" w:customStyle="1" w:styleId="Border">
    <w:name w:val="Border"/>
    <w:basedOn w:val="Normal"/>
    <w:qFormat/>
    <w:rsid w:val="00895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63B"/>
    <w:rPr>
      <w:b/>
      <w:bCs/>
      <w:i/>
      <w:iCs/>
      <w:color w:val="auto"/>
    </w:rPr>
  </w:style>
  <w:style w:type="paragraph" w:styleId="IntenseQuote">
    <w:name w:val="Intense Quote"/>
    <w:basedOn w:val="Normal"/>
    <w:next w:val="Normal"/>
    <w:link w:val="IntenseQuoteChar"/>
    <w:uiPriority w:val="30"/>
    <w:qFormat/>
    <w:rsid w:val="00895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6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63B"/>
    <w:rPr>
      <w:smallCaps/>
      <w:color w:val="auto"/>
      <w:u w:val="single"/>
    </w:rPr>
  </w:style>
  <w:style w:type="character" w:styleId="IntenseReference">
    <w:name w:val="Intense Reference"/>
    <w:basedOn w:val="DefaultParagraphFont"/>
    <w:uiPriority w:val="32"/>
    <w:qFormat/>
    <w:rsid w:val="0089563B"/>
    <w:rPr>
      <w:b/>
      <w:bCs/>
      <w:smallCaps/>
      <w:color w:val="auto"/>
      <w:spacing w:val="5"/>
      <w:u w:val="single"/>
    </w:rPr>
  </w:style>
  <w:style w:type="paragraph" w:customStyle="1" w:styleId="2ColumnHeading">
    <w:name w:val="2Column Heading"/>
    <w:basedOn w:val="BodyText"/>
    <w:qFormat/>
    <w:rsid w:val="0089563B"/>
    <w:pPr>
      <w:spacing w:after="60"/>
      <w:ind w:left="-2268"/>
    </w:pPr>
    <w:rPr>
      <w:b/>
    </w:rPr>
  </w:style>
  <w:style w:type="paragraph" w:customStyle="1" w:styleId="Heading1TOC">
    <w:name w:val="Heading1 TOC"/>
    <w:basedOn w:val="Normal"/>
    <w:qFormat/>
    <w:rsid w:val="0089563B"/>
    <w:pPr>
      <w:spacing w:before="240" w:after="120"/>
    </w:pPr>
    <w:rPr>
      <w:rFonts w:ascii="Times New Roman" w:hAnsi="Times New Roman"/>
      <w:b/>
      <w:sz w:val="32"/>
    </w:rPr>
  </w:style>
  <w:style w:type="paragraph" w:customStyle="1" w:styleId="Heading2TOC">
    <w:name w:val="Heading2 TOC"/>
    <w:basedOn w:val="Normal"/>
    <w:qFormat/>
    <w:rsid w:val="0089563B"/>
    <w:pPr>
      <w:spacing w:before="240" w:after="60"/>
    </w:pPr>
    <w:rPr>
      <w:rFonts w:ascii="Times New Roman" w:hAnsi="Times New Roman"/>
      <w:b/>
      <w:sz w:val="28"/>
    </w:rPr>
  </w:style>
  <w:style w:type="character" w:customStyle="1" w:styleId="Underline">
    <w:name w:val="Underline"/>
    <w:basedOn w:val="DefaultParagraphFont"/>
    <w:qFormat/>
    <w:rsid w:val="0089563B"/>
    <w:rPr>
      <w:u w:val="single"/>
    </w:rPr>
  </w:style>
  <w:style w:type="character" w:customStyle="1" w:styleId="BoldandItalics">
    <w:name w:val="Bold and Italics"/>
    <w:qFormat/>
    <w:rsid w:val="0089563B"/>
    <w:rPr>
      <w:b/>
      <w:i/>
      <w:u w:val="none"/>
    </w:rPr>
  </w:style>
  <w:style w:type="paragraph" w:styleId="BalloonText">
    <w:name w:val="Balloon Text"/>
    <w:basedOn w:val="Normal"/>
    <w:link w:val="BalloonTextChar"/>
    <w:rsid w:val="0089563B"/>
    <w:rPr>
      <w:rFonts w:ascii="Tahoma" w:hAnsi="Tahoma" w:cs="Tahoma"/>
      <w:sz w:val="16"/>
      <w:szCs w:val="16"/>
    </w:rPr>
  </w:style>
  <w:style w:type="character" w:customStyle="1" w:styleId="BalloonTextChar">
    <w:name w:val="Balloon Text Char"/>
    <w:basedOn w:val="DefaultParagraphFont"/>
    <w:link w:val="BalloonText"/>
    <w:rsid w:val="008956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6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56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63B"/>
    <w:rPr>
      <w:b/>
      <w:color w:val="660033"/>
      <w:spacing w:val="0"/>
    </w:rPr>
  </w:style>
  <w:style w:type="paragraph" w:customStyle="1" w:styleId="Nameditemlist">
    <w:name w:val="Named item list"/>
    <w:basedOn w:val="BodyText"/>
    <w:qFormat/>
    <w:rsid w:val="0089563B"/>
    <w:pPr>
      <w:tabs>
        <w:tab w:val="left" w:pos="2835"/>
      </w:tabs>
      <w:ind w:left="2835" w:hanging="2835"/>
    </w:pPr>
  </w:style>
  <w:style w:type="paragraph" w:customStyle="1" w:styleId="BodyTextnopadding">
    <w:name w:val="Body Text no padding"/>
    <w:basedOn w:val="BodyText"/>
    <w:qFormat/>
    <w:rsid w:val="0089563B"/>
    <w:pPr>
      <w:spacing w:before="0" w:after="0"/>
    </w:pPr>
  </w:style>
  <w:style w:type="paragraph" w:customStyle="1" w:styleId="BodyTextBold">
    <w:name w:val="Body Text Bold"/>
    <w:basedOn w:val="BodyText"/>
    <w:qFormat/>
    <w:rsid w:val="0089563B"/>
    <w:rPr>
      <w:b/>
    </w:rPr>
  </w:style>
  <w:style w:type="character" w:styleId="Hyperlink">
    <w:name w:val="Hyperlink"/>
    <w:basedOn w:val="DefaultParagraphFont"/>
    <w:uiPriority w:val="99"/>
    <w:unhideWhenUsed/>
    <w:rsid w:val="002B28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4999</Characters>
  <Application>Microsoft Office Word</Application>
  <DocSecurity>0</DocSecurity>
  <Lines>142</Lines>
  <Paragraphs>73</Paragraphs>
  <ScaleCrop>false</ScaleCrop>
  <Company>Author-it Software Corporation Ltd.</Company>
  <LinksUpToDate>false</LinksUpToDate>
  <CharactersWithSpaces>5699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HLTAEDR002 Assess and respond to medical emergencies</dc:title>
  <dc:subject>Approved</dc:subject>
  <dc:creator>SkillsIQ</dc:creator>
  <cp:keywords>Release: 1</cp:keywords>
  <dc:description>Review Date: 12 April 2008</dc:description>
  <cp:lastModifiedBy>HSD_TPCMSd.prod</cp:lastModifiedBy>
  <cp:revision>3</cp:revision>
  <dcterms:created xsi:type="dcterms:W3CDTF">2023-07-01T04:24:00Z</dcterms:created>
  <dcterms:modified xsi:type="dcterms:W3CDTF">2023-07-01T04:24:00Z</dcterms:modified>
</cp:coreProperties>
</file>