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FD7" w:rsidP="00D93F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HLTAEDR001 Respond to community disasters</w:t>
      </w:r>
      <w:r>
        <w:fldChar w:fldCharType="end"/>
      </w:r>
    </w:p>
    <w:p w:rsidR="00D93FD7" w:rsidP="00D93FD7">
      <w:pPr>
        <w:pStyle w:val="Version"/>
        <w:sectPr w:rsidSect="00FC2E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2E37" w:rsidP="00FC2E37">
      <w:pPr>
        <w:pStyle w:val="SuperHeading"/>
      </w:pPr>
      <w:r w:rsidRPr="00FC2E37">
        <w:t>HLTAEDR001 Respond to community disasters</w:t>
      </w:r>
    </w:p>
    <w:p w:rsidR="00000000" w:rsidRPr="00FC2E37" w:rsidP="00FC2E37">
      <w:pPr>
        <w:pStyle w:val="Heading1"/>
      </w:pPr>
      <w:bookmarkStart w:id="1" w:name="O_1276866"/>
      <w:bookmarkEnd w:id="1"/>
      <w:r w:rsidRPr="00FC2E37">
        <w:t>Modification History</w:t>
      </w:r>
    </w:p>
    <w:p w:rsidR="00000000" w:rsidRPr="00FC2E37" w:rsidP="00D93FD7">
      <w:pPr>
        <w:pStyle w:val="BodyText"/>
      </w:pPr>
      <w:r w:rsidRPr="00FC2E37">
        <w:t>Not applicable.</w:t>
      </w:r>
    </w:p>
    <w:p w:rsidR="00000000" w:rsidRPr="00FC2E37" w:rsidP="00FC2E37">
      <w:pPr>
        <w:pStyle w:val="Heading1"/>
      </w:pPr>
      <w:bookmarkStart w:id="2" w:name="O_1276867"/>
      <w:bookmarkEnd w:id="2"/>
      <w:r w:rsidRPr="00FC2E37">
        <w:t>Application</w:t>
      </w:r>
    </w:p>
    <w:p w:rsidR="00000000" w:rsidRPr="00FC2E37" w:rsidP="00D93FD7">
      <w:pPr>
        <w:pStyle w:val="BodyText"/>
      </w:pPr>
      <w:r w:rsidRPr="00FC2E37">
        <w:t xml:space="preserve">This unit describes the performance outcomes, skills and knowledge required to recognise situations that require a disaster response, follow procedures in an established disaster plan and </w:t>
      </w:r>
      <w:r w:rsidRPr="00FC2E37">
        <w:t>complete post-disaster follow-up activities. Depending on local planning responsibilities, the disaster plan may have been developed by the employer organisation or another agency.</w:t>
      </w:r>
    </w:p>
    <w:p w:rsidR="00000000" w:rsidRPr="00FC2E37" w:rsidP="00D93FD7">
      <w:pPr>
        <w:pStyle w:val="BodyText"/>
      </w:pPr>
      <w:r w:rsidRPr="00FC2E37">
        <w:t>Disasters are diverse in nature and this unit can cover health-related disa</w:t>
      </w:r>
      <w:r w:rsidRPr="00FC2E37">
        <w:t>sters including epidemics and pandemics. Skills for responding to medical emergencies are covered in another unit.</w:t>
      </w:r>
    </w:p>
    <w:p w:rsidR="00000000" w:rsidRPr="00FC2E37" w:rsidP="00D93FD7">
      <w:pPr>
        <w:pStyle w:val="BodyText"/>
      </w:pPr>
      <w:r w:rsidRPr="00FC2E37">
        <w:t>This unit is specific to Aboriginal and/or Torres Strait Islander people working as health workers or health practitioners. They work as part</w:t>
      </w:r>
      <w:r w:rsidRPr="00FC2E37">
        <w:t xml:space="preserve"> of a multidisciplinary primary health care team and have an important community role when disasters occur in Aboriginal and/or Torres Strait Islander communities.</w:t>
      </w:r>
    </w:p>
    <w:p w:rsidR="00000000" w:rsidRPr="00FC2E37" w:rsidP="00D93FD7">
      <w:pPr>
        <w:pStyle w:val="BodyText"/>
      </w:pPr>
      <w:r w:rsidRPr="00FC2E37">
        <w:t>The skills in this unit must be applied in accordance with Commonwealth and State or Territo</w:t>
      </w:r>
      <w:r w:rsidRPr="00FC2E37">
        <w:t>ry legislation, Australian standards and industry codes of practice.</w:t>
      </w:r>
    </w:p>
    <w:p w:rsidR="00000000" w:rsidRPr="00FC2E37" w:rsidP="00D93FD7">
      <w:pPr>
        <w:pStyle w:val="BodyText"/>
      </w:pPr>
      <w:r w:rsidRPr="00FC2E37">
        <w:t>No regulatory requirement for certification, occupational or business licensing is linked to this unit at the time of publication. For information about practitioner registration and accr</w:t>
      </w:r>
      <w:r w:rsidRPr="00FC2E37">
        <w:t>edited courses of study, contact the Aboriginal and Torres Strait Islander Health Practice Board of Australia (ATSIHPBA).</w:t>
      </w:r>
    </w:p>
    <w:p w:rsidR="00000000" w:rsidRPr="00FC2E37" w:rsidP="00FC2E37">
      <w:pPr>
        <w:pStyle w:val="Heading1"/>
      </w:pPr>
      <w:bookmarkStart w:id="3" w:name="O_1276868"/>
      <w:bookmarkEnd w:id="3"/>
      <w:r w:rsidRPr="00FC2E37">
        <w:t>Pre-requisite Unit</w:t>
      </w:r>
    </w:p>
    <w:p w:rsidR="00000000" w:rsidRPr="00FC2E37" w:rsidP="00D93FD7">
      <w:pPr>
        <w:pStyle w:val="BodyText"/>
      </w:pPr>
      <w:r w:rsidRPr="00FC2E37">
        <w:t>Nil</w:t>
      </w:r>
    </w:p>
    <w:p w:rsidR="00000000" w:rsidRPr="00FC2E37" w:rsidP="00FC2E37">
      <w:pPr>
        <w:pStyle w:val="Heading1"/>
      </w:pPr>
      <w:bookmarkStart w:id="4" w:name="O_1276869"/>
      <w:bookmarkEnd w:id="4"/>
      <w:r w:rsidRPr="00FC2E37">
        <w:t>Competency Field</w:t>
      </w:r>
    </w:p>
    <w:p w:rsidR="00000000" w:rsidRPr="00FC2E37" w:rsidP="00D93FD7">
      <w:pPr>
        <w:pStyle w:val="BodyText"/>
      </w:pPr>
      <w:r w:rsidRPr="00FC2E37">
        <w:t>Emergency and Disaster Response</w:t>
      </w:r>
    </w:p>
    <w:p w:rsidR="00000000" w:rsidRPr="00FC2E37" w:rsidP="00FC2E37">
      <w:pPr>
        <w:pStyle w:val="Heading1"/>
      </w:pPr>
      <w:bookmarkStart w:id="5" w:name="O_1276870"/>
      <w:bookmarkEnd w:id="5"/>
      <w:r w:rsidRPr="00FC2E37">
        <w:t xml:space="preserve">Unit </w:t>
      </w:r>
      <w:r w:rsidRPr="00FC2E37">
        <w:t>Sector</w:t>
      </w:r>
    </w:p>
    <w:p w:rsidR="00000000" w:rsidRPr="00FC2E37" w:rsidP="00D93FD7">
      <w:pPr>
        <w:pStyle w:val="BodyText"/>
      </w:pPr>
      <w:r w:rsidRPr="00FC2E37">
        <w:t>Aboriginal and/or Torres Strait Islander Health</w:t>
      </w:r>
    </w:p>
    <w:p w:rsidR="00000000" w:rsidRPr="00FC2E37" w:rsidP="00FC2E37">
      <w:pPr>
        <w:pStyle w:val="Heading1"/>
      </w:pPr>
      <w:bookmarkStart w:id="6" w:name="O_1276871"/>
      <w:bookmarkEnd w:id="6"/>
      <w:r w:rsidRPr="00FC2E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2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E37" w:rsidP="00FC2E37">
            <w:pPr>
              <w:pStyle w:val="BodyText"/>
            </w:pPr>
            <w:r w:rsidRPr="00FC2E3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37">
            <w:pPr>
              <w:pStyle w:val="BodyText"/>
              <w:rPr>
                <w:lang w:val="en-NZ"/>
              </w:rPr>
            </w:pPr>
            <w:r w:rsidRPr="00FC2E37">
              <w:rPr>
                <w:rStyle w:val="SpecialBold"/>
              </w:rPr>
              <w:t>PERFORMANCE</w:t>
            </w:r>
            <w:r w:rsidRPr="00FC2E37">
              <w:t xml:space="preserve"> </w:t>
            </w:r>
            <w:r w:rsidRPr="00FC2E37">
              <w:rPr>
                <w:rStyle w:val="SpecialBold"/>
              </w:rPr>
              <w:t>CRITERIA</w:t>
            </w:r>
          </w:p>
        </w:tc>
      </w:tr>
      <w:tr w:rsidTr="00FC2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E37" w:rsidP="00FC2E37">
            <w:pPr>
              <w:pStyle w:val="BodyText"/>
            </w:pPr>
            <w:r w:rsidRPr="00FC2E3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37">
            <w:pPr>
              <w:pStyle w:val="BodyText"/>
              <w:rPr>
                <w:lang w:val="en-NZ"/>
              </w:rPr>
            </w:pPr>
            <w:r w:rsidRPr="00FC2E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2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37">
            <w:pPr>
              <w:pStyle w:val="List"/>
              <w:rPr>
                <w:lang w:val="en-NZ"/>
              </w:rPr>
            </w:pPr>
            <w:r w:rsidRPr="00FC2E37">
              <w:t>1.  Identify required response to disaster.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E37" w:rsidP="00FC2E37">
            <w:pPr>
              <w:pStyle w:val="List"/>
            </w:pPr>
            <w:r w:rsidRPr="00FC2E37">
              <w:t>1.1. Identify situations that trigger the need for disaster response.</w:t>
            </w:r>
          </w:p>
          <w:p w:rsidR="00000000" w:rsidRPr="00FC2E37" w:rsidP="00FC2E37">
            <w:pPr>
              <w:pStyle w:val="List"/>
            </w:pPr>
            <w:r w:rsidRPr="00FC2E37">
              <w:t>1.2. Locate and access relevant plans and pro</w:t>
            </w:r>
            <w:r w:rsidRPr="00FC2E37">
              <w:t>cedures for responding to disasters, including health service business continuity plan.</w:t>
            </w:r>
          </w:p>
          <w:p w:rsidR="00000000" w:rsidRPr="00FC2E37" w:rsidP="00FC2E37">
            <w:pPr>
              <w:pStyle w:val="List"/>
            </w:pPr>
            <w:r w:rsidRPr="00FC2E37">
              <w:t>1.3. Seek information about the situation from key people and community members within time and other constraints.</w:t>
            </w:r>
          </w:p>
          <w:p w:rsidR="00000000" w:rsidRPr="00FC2E37" w:rsidP="00FC2E37">
            <w:pPr>
              <w:pStyle w:val="List"/>
            </w:pPr>
            <w:r w:rsidRPr="00FC2E37">
              <w:t>1.4. Identify specific and immediate community impact</w:t>
            </w:r>
            <w:r w:rsidRPr="00FC2E37">
              <w:t>s and needs from information obtained.</w:t>
            </w:r>
          </w:p>
          <w:p w:rsidR="00000000" w:rsidP="00FC2E37">
            <w:pPr>
              <w:pStyle w:val="List"/>
              <w:rPr>
                <w:lang w:val="en-NZ"/>
              </w:rPr>
            </w:pPr>
            <w:r w:rsidRPr="00FC2E37">
              <w:t>1.5. For the particular disaster, identify response role and actions for the primary health care team, in consultation with team and others.</w:t>
            </w:r>
          </w:p>
        </w:tc>
      </w:tr>
      <w:tr w:rsidTr="00FC2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37">
            <w:pPr>
              <w:pStyle w:val="List"/>
              <w:rPr>
                <w:lang w:val="en-NZ"/>
              </w:rPr>
            </w:pPr>
            <w:r w:rsidRPr="00FC2E37">
              <w:t>2.  Follow disaster plan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E37" w:rsidP="00FC2E37">
            <w:pPr>
              <w:pStyle w:val="List"/>
            </w:pPr>
            <w:r w:rsidRPr="00FC2E37">
              <w:t>2.1. Reconfirm own role, responsibilities and relationships with others in disaster response.</w:t>
            </w:r>
          </w:p>
          <w:p w:rsidR="00000000" w:rsidRPr="00FC2E37" w:rsidP="00FC2E37">
            <w:pPr>
              <w:pStyle w:val="List"/>
            </w:pPr>
            <w:r w:rsidRPr="00FC2E37">
              <w:t>2.2. Establish and maintain communication with others according to disaster plan chain of command requirements.</w:t>
            </w:r>
          </w:p>
          <w:p w:rsidR="00000000" w:rsidRPr="00FC2E37" w:rsidP="00FC2E37">
            <w:pPr>
              <w:pStyle w:val="List"/>
            </w:pPr>
            <w:r w:rsidRPr="00FC2E37">
              <w:t>2.3. Complete and accurately document response tas</w:t>
            </w:r>
            <w:r w:rsidRPr="00FC2E37">
              <w:t>ks and outcomes according to organisational and disaster plan procedures and within scope of responsibility.</w:t>
            </w:r>
          </w:p>
          <w:p w:rsidR="00000000" w:rsidRPr="00FC2E37" w:rsidP="00FC2E37">
            <w:pPr>
              <w:pStyle w:val="List"/>
            </w:pPr>
            <w:r w:rsidRPr="00FC2E37">
              <w:t>2.4. Monitor progress through observation and consultation with other responders.</w:t>
            </w:r>
          </w:p>
          <w:p w:rsidR="00000000" w:rsidP="00FC2E37">
            <w:pPr>
              <w:pStyle w:val="List"/>
              <w:rPr>
                <w:lang w:val="en-NZ"/>
              </w:rPr>
            </w:pPr>
            <w:r w:rsidRPr="00FC2E37">
              <w:t>2.5. Provide key people and the community with updated status rep</w:t>
            </w:r>
            <w:r w:rsidRPr="00FC2E37">
              <w:t>orts within time and other constraints.</w:t>
            </w:r>
          </w:p>
        </w:tc>
      </w:tr>
      <w:tr w:rsidTr="00FC2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37">
            <w:pPr>
              <w:pStyle w:val="List"/>
              <w:rPr>
                <w:lang w:val="en-NZ"/>
              </w:rPr>
            </w:pPr>
            <w:r w:rsidRPr="00FC2E37">
              <w:t>3.  Follow-up disaster.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E37" w:rsidP="00FC2E37">
            <w:pPr>
              <w:pStyle w:val="List"/>
            </w:pPr>
            <w:r w:rsidRPr="00FC2E37">
              <w:t>3.1. Participate in ongoing and post disaster response debrief according to organisational and community requirements.</w:t>
            </w:r>
          </w:p>
          <w:p w:rsidR="00000000" w:rsidRPr="00FC2E37" w:rsidP="00FC2E37">
            <w:pPr>
              <w:pStyle w:val="List"/>
            </w:pPr>
            <w:r w:rsidRPr="00FC2E37">
              <w:t>3.2. Identify the need for follow-up services based on specific situatio</w:t>
            </w:r>
            <w:r w:rsidRPr="00FC2E37">
              <w:t>n and agree on actions in consultation with primary health care team.</w:t>
            </w:r>
          </w:p>
          <w:p w:rsidR="00000000" w:rsidRPr="00FC2E37" w:rsidP="00FC2E37">
            <w:pPr>
              <w:pStyle w:val="List"/>
            </w:pPr>
            <w:r w:rsidRPr="00FC2E37">
              <w:t>3.3. Provide feedback about the effectiveness of disaster and business continuity plans to those responsible for development and maintenance.</w:t>
            </w:r>
          </w:p>
          <w:p w:rsidR="00000000" w:rsidRPr="00FC2E37" w:rsidP="00FC2E37">
            <w:pPr>
              <w:pStyle w:val="List"/>
            </w:pPr>
            <w:r w:rsidRPr="00FC2E37">
              <w:t>3.4. Identify and follow requirements for ma</w:t>
            </w:r>
            <w:r w:rsidRPr="00FC2E37">
              <w:t>intaining current knowledge of relevant disaster plans and own roles and responsibilities.</w:t>
            </w:r>
          </w:p>
        </w:tc>
      </w:tr>
    </w:tbl>
    <w:p w:rsidR="00000000" w:rsidRPr="00FC2E37" w:rsidP="00FC2E37">
      <w:pPr>
        <w:pStyle w:val="BodyText"/>
      </w:pPr>
    </w:p>
    <w:p w:rsidR="00000000" w:rsidRPr="00FC2E37" w:rsidP="00FC2E37">
      <w:pPr>
        <w:pStyle w:val="AllowPageBreak"/>
      </w:pPr>
    </w:p>
    <w:p w:rsidR="00000000" w:rsidRPr="00FC2E37" w:rsidP="00FC2E37">
      <w:pPr>
        <w:pStyle w:val="Heading1"/>
      </w:pPr>
      <w:bookmarkStart w:id="7" w:name="O_1276872"/>
      <w:bookmarkEnd w:id="7"/>
      <w:r w:rsidRPr="00FC2E3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C2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37">
            <w:pPr>
              <w:pStyle w:val="BodyText"/>
              <w:rPr>
                <w:lang w:val="en-NZ"/>
              </w:rPr>
            </w:pPr>
            <w:r w:rsidRPr="00FC2E3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C2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E37" w:rsidP="00FC2E37">
            <w:pPr>
              <w:pStyle w:val="BodyText"/>
            </w:pPr>
          </w:p>
          <w:p w:rsidR="00000000" w:rsidRPr="00FC2E37" w:rsidP="00FC2E37">
            <w:pPr>
              <w:pStyle w:val="BodyText"/>
            </w:pPr>
            <w:r w:rsidRPr="00FC2E3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37">
            <w:pPr>
              <w:pStyle w:val="BodyText"/>
              <w:rPr>
                <w:lang w:val="en-NZ"/>
              </w:rPr>
            </w:pPr>
            <w:r w:rsidRPr="00FC2E37">
              <w:rPr>
                <w:rStyle w:val="SpecialBold"/>
              </w:rPr>
              <w:t>DESCRIPTION</w:t>
            </w:r>
          </w:p>
        </w:tc>
      </w:tr>
      <w:tr w:rsidTr="00FC2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37">
            <w:pPr>
              <w:pStyle w:val="BodyText"/>
              <w:rPr>
                <w:lang w:val="en-NZ"/>
              </w:rPr>
            </w:pPr>
            <w:r w:rsidRPr="00FC2E3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37">
            <w:pPr>
              <w:pStyle w:val="ListBullet"/>
              <w:rPr>
                <w:lang w:val="en-NZ"/>
              </w:rPr>
            </w:pPr>
            <w:r w:rsidRPr="00FC2E37">
              <w:t>interpret unfamiliar and potentially complex disaster an</w:t>
            </w:r>
            <w:r w:rsidRPr="00FC2E37">
              <w:t>d business continuity plans and procedures.</w:t>
            </w:r>
          </w:p>
        </w:tc>
      </w:tr>
      <w:tr w:rsidTr="00FC2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37">
            <w:pPr>
              <w:pStyle w:val="BodyText"/>
              <w:rPr>
                <w:lang w:val="en-NZ"/>
              </w:rPr>
            </w:pPr>
            <w:r w:rsidRPr="00FC2E3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E37" w:rsidP="00FC2E37">
            <w:pPr>
              <w:pStyle w:val="ListBullet"/>
            </w:pPr>
            <w:r w:rsidRPr="00FC2E37">
              <w:t>use open and closed probe questions and actively listen to obtain information about current situations</w:t>
            </w:r>
          </w:p>
          <w:p w:rsidR="00000000" w:rsidP="00FC2E37">
            <w:pPr>
              <w:pStyle w:val="ListBullet"/>
              <w:rPr>
                <w:lang w:val="en-NZ"/>
              </w:rPr>
            </w:pPr>
            <w:r w:rsidRPr="00FC2E37">
              <w:t>provide clear and succinct information and instructions to others about disaster response requirements.</w:t>
            </w:r>
          </w:p>
        </w:tc>
      </w:tr>
      <w:tr w:rsidTr="00FC2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37">
            <w:pPr>
              <w:pStyle w:val="BodyText"/>
              <w:rPr>
                <w:lang w:val="en-NZ"/>
              </w:rPr>
            </w:pPr>
            <w:r w:rsidRPr="00FC2E3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37">
            <w:pPr>
              <w:pStyle w:val="ListBullet"/>
              <w:rPr>
                <w:lang w:val="en-NZ"/>
              </w:rPr>
            </w:pPr>
            <w:r w:rsidRPr="00FC2E37">
              <w:t>respond to diverse and unexpected situations within time constraints.</w:t>
            </w:r>
          </w:p>
        </w:tc>
      </w:tr>
      <w:tr w:rsidTr="00FC2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2E37">
            <w:pPr>
              <w:pStyle w:val="BodyText"/>
              <w:rPr>
                <w:lang w:val="en-NZ"/>
              </w:rPr>
            </w:pPr>
            <w:r w:rsidRPr="00FC2E37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2E37" w:rsidP="00FC2E37">
            <w:pPr>
              <w:pStyle w:val="ListBullet"/>
            </w:pPr>
            <w:r w:rsidRPr="00FC2E37">
              <w:t xml:space="preserve">work cooperatively as a member </w:t>
            </w:r>
            <w:r w:rsidRPr="00FC2E37">
              <w:t>of a disaster response team while adhering to chain-of-command requirements.</w:t>
            </w:r>
          </w:p>
        </w:tc>
      </w:tr>
    </w:tbl>
    <w:p w:rsidR="00000000" w:rsidRPr="00FC2E37" w:rsidP="00FC2E37">
      <w:pPr>
        <w:pStyle w:val="BodyText"/>
      </w:pPr>
    </w:p>
    <w:p w:rsidR="00000000" w:rsidRPr="00FC2E37" w:rsidP="00FC2E37">
      <w:pPr>
        <w:pStyle w:val="AllowPageBreak"/>
      </w:pPr>
    </w:p>
    <w:p w:rsidR="00000000" w:rsidRPr="00FC2E37" w:rsidP="00FC2E37">
      <w:pPr>
        <w:pStyle w:val="Heading1"/>
      </w:pPr>
      <w:bookmarkStart w:id="8" w:name="O_1276874"/>
      <w:bookmarkEnd w:id="8"/>
      <w:r w:rsidRPr="00FC2E37">
        <w:t>Unit Mapping Information</w:t>
      </w:r>
    </w:p>
    <w:p w:rsidR="00000000" w:rsidRPr="00FC2E37" w:rsidP="00D93FD7">
      <w:pPr>
        <w:pStyle w:val="BodyText"/>
      </w:pPr>
      <w:r w:rsidRPr="00FC2E37">
        <w:t>No equivalent unit</w:t>
      </w:r>
    </w:p>
    <w:p w:rsidR="00000000" w:rsidRPr="00FC2E37" w:rsidP="00FC2E37">
      <w:pPr>
        <w:pStyle w:val="Heading1"/>
      </w:pPr>
      <w:bookmarkStart w:id="9" w:name="O_1276881"/>
      <w:bookmarkEnd w:id="9"/>
      <w:r w:rsidRPr="00FC2E37">
        <w:t>Links</w:t>
      </w:r>
    </w:p>
    <w:p w:rsidR="00000000" w:rsidRPr="00FC2E37" w:rsidP="00D93FD7">
      <w:pPr>
        <w:pStyle w:val="BodyText"/>
      </w:pPr>
      <w:r w:rsidRPr="00FC2E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A061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C2E37" w:rsidP="00FC2E37"/>
    <w:sectPr w:rsidSect="00FC2E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37" w:rsidRPr="00D93FD7" w:rsidP="00D93F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D7" w:rsidP="00FC2E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3FD7" w:rsidP="00FC2E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93FD7" w:rsidP="00FC2E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2E37" w:rsidRPr="00D93FD7" w:rsidP="00D93F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FD7" w:rsidRPr="002D2AF8" w:rsidP="00FC2E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HLTAEDR001 Respond to community disasters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93FD7" w:rsidP="00FC2E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CC2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9A7E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E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2E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2E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2E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2E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2E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2E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2E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2E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2E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2E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2E37"/>
  </w:style>
  <w:style w:type="character" w:customStyle="1" w:styleId="Heading1Char">
    <w:name w:val="Heading 1 Char"/>
    <w:basedOn w:val="DefaultParagraphFont"/>
    <w:link w:val="Heading1"/>
    <w:rsid w:val="00FC2E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2E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2E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2E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2E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2E37"/>
    <w:rPr>
      <w:b/>
      <w:spacing w:val="0"/>
    </w:rPr>
  </w:style>
  <w:style w:type="character" w:styleId="Emphasis">
    <w:name w:val="Emphasis"/>
    <w:basedOn w:val="DefaultParagraphFont"/>
    <w:qFormat/>
    <w:rsid w:val="00FC2E37"/>
    <w:rPr>
      <w:i/>
    </w:rPr>
  </w:style>
  <w:style w:type="paragraph" w:customStyle="1" w:styleId="SuperHeading">
    <w:name w:val="SuperHeading"/>
    <w:basedOn w:val="Normal"/>
    <w:rsid w:val="00FC2E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2E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2E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2E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2E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2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2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2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2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2E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2E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2E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2E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2E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2E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2E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2E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2E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2E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2E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2E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2E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2E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2E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2E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2E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2E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2E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2E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2E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2E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2E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2E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2E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2E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2E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2E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2E37"/>
  </w:style>
  <w:style w:type="paragraph" w:styleId="TableofFigures">
    <w:name w:val="table of figures"/>
    <w:basedOn w:val="Normal"/>
    <w:next w:val="Normal"/>
    <w:semiHidden/>
    <w:rsid w:val="00FC2E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2E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2E37"/>
    <w:rPr>
      <w:rFonts w:ascii="Wingdings" w:hAnsi="Wingdings"/>
    </w:rPr>
  </w:style>
  <w:style w:type="paragraph" w:customStyle="1" w:styleId="TableHeading">
    <w:name w:val="Table Heading"/>
    <w:basedOn w:val="HeadingBase"/>
    <w:rsid w:val="00FC2E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2E37"/>
    <w:rPr>
      <w:color w:val="0033CC"/>
      <w:u w:val="none"/>
    </w:rPr>
  </w:style>
  <w:style w:type="paragraph" w:customStyle="1" w:styleId="BodyTextRight">
    <w:name w:val="Body Text Right"/>
    <w:basedOn w:val="BodyText"/>
    <w:rsid w:val="00FC2E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2E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2E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2E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2E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2E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2E37"/>
    <w:rPr>
      <w:sz w:val="32"/>
    </w:rPr>
  </w:style>
  <w:style w:type="paragraph" w:customStyle="1" w:styleId="HeadingProcedure">
    <w:name w:val="Heading Procedure"/>
    <w:basedOn w:val="HeadingBase"/>
    <w:next w:val="Normal"/>
    <w:rsid w:val="00FC2E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2E37"/>
    <w:pPr>
      <w:spacing w:before="60" w:after="60"/>
    </w:pPr>
  </w:style>
  <w:style w:type="paragraph" w:styleId="ListContinue">
    <w:name w:val="List Continue"/>
    <w:basedOn w:val="List"/>
    <w:rsid w:val="00FC2E37"/>
    <w:pPr>
      <w:ind w:firstLine="0"/>
    </w:pPr>
  </w:style>
  <w:style w:type="paragraph" w:customStyle="1" w:styleId="ListNote">
    <w:name w:val="List Note"/>
    <w:basedOn w:val="List"/>
    <w:rsid w:val="00FC2E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2E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2E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2E37"/>
    <w:rPr>
      <w:rFonts w:ascii="Courier New" w:hAnsi="Courier New"/>
    </w:rPr>
  </w:style>
  <w:style w:type="paragraph" w:customStyle="1" w:styleId="NoteBullet">
    <w:name w:val="Note Bullet"/>
    <w:basedOn w:val="Note"/>
    <w:rsid w:val="00FC2E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2E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2E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2E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2E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2E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2E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2E37"/>
    <w:rPr>
      <w:b/>
      <w:smallCaps/>
    </w:rPr>
  </w:style>
  <w:style w:type="paragraph" w:customStyle="1" w:styleId="TableListNumber">
    <w:name w:val="Table List Number"/>
    <w:basedOn w:val="ListNumber"/>
    <w:rsid w:val="00FC2E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2E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2E37"/>
    <w:pPr>
      <w:numPr>
        <w:numId w:val="8"/>
      </w:numPr>
    </w:pPr>
  </w:style>
  <w:style w:type="paragraph" w:customStyle="1" w:styleId="ListAlpha2">
    <w:name w:val="List Alpha 2"/>
    <w:basedOn w:val="List2"/>
    <w:rsid w:val="00FC2E37"/>
    <w:pPr>
      <w:numPr>
        <w:numId w:val="7"/>
      </w:numPr>
    </w:pPr>
  </w:style>
  <w:style w:type="paragraph" w:styleId="List2">
    <w:name w:val="List 2"/>
    <w:basedOn w:val="BodyText"/>
    <w:rsid w:val="00FC2E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2E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2E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2E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2E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2E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2E37"/>
    <w:pPr>
      <w:numPr>
        <w:numId w:val="3"/>
      </w:numPr>
    </w:pPr>
  </w:style>
  <w:style w:type="paragraph" w:styleId="ListContinue2">
    <w:name w:val="List Continue 2"/>
    <w:basedOn w:val="List2"/>
    <w:rsid w:val="00FC2E37"/>
    <w:pPr>
      <w:ind w:firstLine="0"/>
    </w:pPr>
  </w:style>
  <w:style w:type="paragraph" w:styleId="ListContinue3">
    <w:name w:val="List Continue 3"/>
    <w:basedOn w:val="List3"/>
    <w:rsid w:val="00FC2E37"/>
    <w:pPr>
      <w:ind w:left="1021" w:firstLine="0"/>
    </w:pPr>
  </w:style>
  <w:style w:type="paragraph" w:styleId="ListContinue4">
    <w:name w:val="List Continue 4"/>
    <w:basedOn w:val="List4"/>
    <w:rsid w:val="00FC2E37"/>
    <w:pPr>
      <w:ind w:firstLine="0"/>
    </w:pPr>
  </w:style>
  <w:style w:type="paragraph" w:styleId="ListContinue5">
    <w:name w:val="List Continue 5"/>
    <w:basedOn w:val="List5"/>
    <w:rsid w:val="00FC2E37"/>
    <w:pPr>
      <w:ind w:firstLine="0"/>
    </w:pPr>
  </w:style>
  <w:style w:type="paragraph" w:styleId="ListNumber3">
    <w:name w:val="List Number 3"/>
    <w:basedOn w:val="List3"/>
    <w:rsid w:val="00FC2E37"/>
    <w:pPr>
      <w:numPr>
        <w:numId w:val="4"/>
      </w:numPr>
    </w:pPr>
  </w:style>
  <w:style w:type="paragraph" w:styleId="ListNumber4">
    <w:name w:val="List Number 4"/>
    <w:basedOn w:val="List4"/>
    <w:rsid w:val="00FC2E37"/>
    <w:pPr>
      <w:numPr>
        <w:numId w:val="5"/>
      </w:numPr>
    </w:pPr>
  </w:style>
  <w:style w:type="paragraph" w:styleId="ListNumber5">
    <w:name w:val="List Number 5"/>
    <w:basedOn w:val="List5"/>
    <w:rsid w:val="00FC2E37"/>
    <w:pPr>
      <w:numPr>
        <w:numId w:val="6"/>
      </w:numPr>
    </w:pPr>
  </w:style>
  <w:style w:type="paragraph" w:styleId="BlockText">
    <w:name w:val="Block Text"/>
    <w:basedOn w:val="Normal"/>
    <w:rsid w:val="00FC2E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2E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2E37"/>
    <w:rPr>
      <w:sz w:val="16"/>
      <w:vertAlign w:val="superscript"/>
    </w:rPr>
  </w:style>
  <w:style w:type="character" w:customStyle="1" w:styleId="Symbols">
    <w:name w:val="Symbols"/>
    <w:basedOn w:val="DefaultParagraphFont"/>
    <w:rsid w:val="00FC2E37"/>
    <w:rPr>
      <w:rFonts w:ascii="Symbol" w:hAnsi="Symbol"/>
    </w:rPr>
  </w:style>
  <w:style w:type="character" w:customStyle="1" w:styleId="MenuOptions">
    <w:name w:val="Menu Options"/>
    <w:basedOn w:val="DefaultParagraphFont"/>
    <w:rsid w:val="00FC2E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2E37"/>
    <w:rPr>
      <w:b/>
    </w:rPr>
  </w:style>
  <w:style w:type="character" w:customStyle="1" w:styleId="Underlined">
    <w:name w:val="Underlined"/>
    <w:basedOn w:val="DefaultParagraphFont"/>
    <w:rsid w:val="00FC2E37"/>
    <w:rPr>
      <w:u w:val="single"/>
    </w:rPr>
  </w:style>
  <w:style w:type="paragraph" w:customStyle="1" w:styleId="TableBodyTextRight">
    <w:name w:val="Table Body Text Right"/>
    <w:basedOn w:val="TableBodyText"/>
    <w:rsid w:val="00FC2E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2E37"/>
    <w:rPr>
      <w:sz w:val="18"/>
    </w:rPr>
  </w:style>
  <w:style w:type="paragraph" w:customStyle="1" w:styleId="BodySmallRight">
    <w:name w:val="Body Small Right"/>
    <w:basedOn w:val="BodyTextRight"/>
    <w:rsid w:val="00FC2E37"/>
    <w:rPr>
      <w:sz w:val="18"/>
      <w:szCs w:val="18"/>
    </w:rPr>
  </w:style>
  <w:style w:type="paragraph" w:customStyle="1" w:styleId="MarginEdition">
    <w:name w:val="Margin Edition"/>
    <w:basedOn w:val="MarginNote"/>
    <w:rsid w:val="00FC2E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2E37"/>
    <w:rPr>
      <w:sz w:val="2"/>
      <w:szCs w:val="2"/>
    </w:rPr>
  </w:style>
  <w:style w:type="character" w:customStyle="1" w:styleId="Small">
    <w:name w:val="Small"/>
    <w:basedOn w:val="DefaultParagraphFont"/>
    <w:rsid w:val="00FC2E37"/>
    <w:rPr>
      <w:sz w:val="16"/>
    </w:rPr>
  </w:style>
  <w:style w:type="paragraph" w:customStyle="1" w:styleId="WideTable">
    <w:name w:val="Wide Table"/>
    <w:basedOn w:val="Normal"/>
    <w:rsid w:val="00FC2E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2E37"/>
  </w:style>
  <w:style w:type="paragraph" w:styleId="Quote">
    <w:name w:val="Quote"/>
    <w:basedOn w:val="Heading1"/>
    <w:link w:val="QuoteChar"/>
    <w:qFormat/>
    <w:rsid w:val="00FC2E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2E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2E37"/>
    <w:pPr>
      <w:pageBreakBefore/>
    </w:pPr>
  </w:style>
  <w:style w:type="paragraph" w:customStyle="1" w:styleId="Border">
    <w:name w:val="Border"/>
    <w:basedOn w:val="Normal"/>
    <w:qFormat/>
    <w:rsid w:val="00FC2E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2E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E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E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2E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2E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2E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2E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2E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2E37"/>
    <w:rPr>
      <w:u w:val="single"/>
    </w:rPr>
  </w:style>
  <w:style w:type="character" w:customStyle="1" w:styleId="BoldandItalics">
    <w:name w:val="Bold and Italics"/>
    <w:qFormat/>
    <w:rsid w:val="00FC2E37"/>
    <w:rPr>
      <w:b/>
      <w:i/>
      <w:u w:val="none"/>
    </w:rPr>
  </w:style>
  <w:style w:type="paragraph" w:styleId="BalloonText">
    <w:name w:val="Balloon Text"/>
    <w:basedOn w:val="Normal"/>
    <w:link w:val="BalloonTextChar"/>
    <w:rsid w:val="00FC2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2E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2E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2E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2E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2E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2E37"/>
    <w:pPr>
      <w:spacing w:before="0" w:after="0"/>
    </w:pPr>
  </w:style>
  <w:style w:type="paragraph" w:customStyle="1" w:styleId="BodyTextBold">
    <w:name w:val="Body Text Bold"/>
    <w:basedOn w:val="BodyText"/>
    <w:qFormat/>
    <w:rsid w:val="00FC2E37"/>
    <w:rPr>
      <w:b/>
    </w:rPr>
  </w:style>
  <w:style w:type="character" w:styleId="Hyperlink">
    <w:name w:val="Hyperlink"/>
    <w:basedOn w:val="DefaultParagraphFont"/>
    <w:uiPriority w:val="99"/>
    <w:unhideWhenUsed/>
    <w:rsid w:val="00D93F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4083</Characters>
  <Application>Microsoft Office Word</Application>
  <DocSecurity>0</DocSecurity>
  <Lines>120</Lines>
  <Paragraphs>66</Paragraphs>
  <ScaleCrop>false</ScaleCrop>
  <Company>Author-it Software Corporation Ltd.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HLTAEDR001 Respond to community disasters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