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4BF9" w:rsidP="007D4B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HLTADM007 Complete highly complex clinical coding</w:t>
      </w:r>
      <w:r>
        <w:fldChar w:fldCharType="end"/>
      </w:r>
    </w:p>
    <w:p w:rsidR="007D4BF9" w:rsidP="007D4BF9">
      <w:pPr>
        <w:pStyle w:val="Version"/>
        <w:sectPr w:rsidSect="006A15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15A9" w:rsidP="006A15A9">
      <w:pPr>
        <w:pStyle w:val="SuperHeading"/>
      </w:pPr>
      <w:r w:rsidRPr="006A15A9">
        <w:t>HLTADM007 Complete highly complex clinical coding</w:t>
      </w:r>
    </w:p>
    <w:p w:rsidR="00000000" w:rsidRPr="006A15A9" w:rsidP="006A15A9">
      <w:pPr>
        <w:pStyle w:val="Heading1"/>
      </w:pPr>
      <w:bookmarkStart w:id="1" w:name="O_655342"/>
      <w:bookmarkEnd w:id="1"/>
      <w:r w:rsidRPr="006A15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A1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5A9" w:rsidP="006A15A9">
            <w:pPr>
              <w:pStyle w:val="BodyText"/>
            </w:pPr>
            <w:r w:rsidRPr="006A15A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A9">
            <w:pPr>
              <w:pStyle w:val="BodyText"/>
              <w:rPr>
                <w:lang w:val="en-NZ"/>
              </w:rPr>
            </w:pPr>
            <w:r w:rsidRPr="006A15A9">
              <w:rPr>
                <w:rStyle w:val="SpecialBold"/>
              </w:rPr>
              <w:t>Comments</w:t>
            </w:r>
          </w:p>
        </w:tc>
      </w:tr>
      <w:tr w:rsidTr="006A1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A9">
            <w:pPr>
              <w:pStyle w:val="BodyText"/>
              <w:rPr>
                <w:lang w:val="en-NZ"/>
              </w:rPr>
            </w:pPr>
            <w:r w:rsidRPr="006A15A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5A9" w:rsidP="006A15A9">
            <w:pPr>
              <w:pStyle w:val="BodyText"/>
            </w:pPr>
            <w:r w:rsidRPr="006A15A9">
              <w:t xml:space="preserve">This version was released in </w:t>
            </w:r>
            <w:r w:rsidRPr="006A15A9">
              <w:rPr>
                <w:rStyle w:val="Emphasis"/>
              </w:rPr>
              <w:t>HLT Health Training Package release 2.0</w:t>
            </w:r>
            <w:r w:rsidRPr="006A15A9">
              <w:t xml:space="preserve"> and meets the requirements of the 2012 Standards for Training Packages.</w:t>
            </w:r>
          </w:p>
          <w:p w:rsidR="00000000" w:rsidRPr="006A15A9" w:rsidP="006A15A9">
            <w:pPr>
              <w:pStyle w:val="BodyText"/>
            </w:pPr>
            <w:r w:rsidRPr="006A15A9">
              <w:t xml:space="preserve">Minimal changes to the elements and performance criteria. </w:t>
            </w:r>
            <w:r w:rsidRPr="006A15A9">
              <w:t>New evidence requirements for assessment, including volume and frequency. Removed prerequisite.</w:t>
            </w:r>
          </w:p>
        </w:tc>
      </w:tr>
    </w:tbl>
    <w:p w:rsidR="00000000" w:rsidRPr="006A15A9" w:rsidP="006A15A9">
      <w:pPr>
        <w:pStyle w:val="BodyText"/>
      </w:pPr>
    </w:p>
    <w:p w:rsidR="00000000" w:rsidRPr="006A15A9" w:rsidP="006A15A9">
      <w:pPr>
        <w:pStyle w:val="AllowPageBreak"/>
      </w:pPr>
    </w:p>
    <w:p w:rsidR="00000000" w:rsidRPr="006A15A9" w:rsidP="006A15A9">
      <w:pPr>
        <w:pStyle w:val="Heading1"/>
      </w:pPr>
      <w:bookmarkStart w:id="2" w:name="O_655343"/>
      <w:bookmarkEnd w:id="2"/>
      <w:r w:rsidRPr="006A15A9">
        <w:t>Application</w:t>
      </w:r>
    </w:p>
    <w:p w:rsidR="00000000" w:rsidRPr="006A15A9" w:rsidP="007D4BF9">
      <w:pPr>
        <w:pStyle w:val="BodyText"/>
      </w:pPr>
      <w:r w:rsidRPr="006A15A9">
        <w:t>This unit describes the skills and knowledge required to complete coding of highly complex medical records with an advanced under</w:t>
      </w:r>
      <w:r w:rsidRPr="006A15A9">
        <w:t>standing of coding conventions, standards and practices in an extensive casemix.</w:t>
      </w:r>
    </w:p>
    <w:p w:rsidR="00000000" w:rsidRPr="006A15A9" w:rsidP="007D4BF9">
      <w:pPr>
        <w:pStyle w:val="BodyText"/>
      </w:pPr>
      <w:r w:rsidRPr="006A15A9">
        <w:t>This unit applies to clinical coders who take responsibility for their own outputs, as well as mentoring other clinical coders as required.</w:t>
      </w:r>
    </w:p>
    <w:p w:rsidR="007D4BF9" w:rsidRPr="007D4BF9" w:rsidP="007D4BF9">
      <w:pPr>
        <w:pStyle w:val="BodyText"/>
        <w:rPr>
          <w:i/>
        </w:rPr>
      </w:pPr>
      <w:r w:rsidRPr="007D4BF9">
        <w:rPr>
          <w:rStyle w:val="Emphasis"/>
        </w:rPr>
        <w:t>The skills in this unit must be a</w:t>
      </w:r>
      <w:r w:rsidRPr="007D4BF9">
        <w:rPr>
          <w:rStyle w:val="Emphasis"/>
        </w:rPr>
        <w:t>pplied in accordance with Commonwealth and State/Territory legislation, Australian/New Zealand standards and industry codes of practice.</w:t>
      </w:r>
    </w:p>
    <w:p w:rsidR="00000000" w:rsidRPr="006A15A9" w:rsidP="006A15A9">
      <w:pPr>
        <w:pStyle w:val="Heading1"/>
      </w:pPr>
      <w:bookmarkStart w:id="3" w:name="O_655347"/>
      <w:bookmarkEnd w:id="3"/>
      <w:r w:rsidRPr="006A15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6A1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5A9" w:rsidP="006A15A9">
            <w:pPr>
              <w:pStyle w:val="BodyText"/>
            </w:pPr>
            <w:r w:rsidRPr="006A15A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A9">
            <w:pPr>
              <w:pStyle w:val="BodyText"/>
              <w:rPr>
                <w:lang w:val="en-NZ"/>
              </w:rPr>
            </w:pPr>
            <w:r w:rsidRPr="006A15A9">
              <w:rPr>
                <w:rStyle w:val="SpecialBold"/>
              </w:rPr>
              <w:t>PERFORMANCE CRITERIA</w:t>
            </w:r>
          </w:p>
        </w:tc>
      </w:tr>
      <w:tr w:rsidTr="006A1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5A9" w:rsidP="006A15A9">
            <w:pPr>
              <w:pStyle w:val="BodyText"/>
            </w:pPr>
            <w:r w:rsidRPr="006A15A9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A9">
            <w:pPr>
              <w:pStyle w:val="BodyText"/>
              <w:rPr>
                <w:lang w:val="en-NZ"/>
              </w:rPr>
            </w:pPr>
            <w:r w:rsidRPr="006A15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1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A9">
            <w:pPr>
              <w:pStyle w:val="BodyText"/>
              <w:rPr>
                <w:lang w:val="en-NZ"/>
              </w:rPr>
            </w:pPr>
            <w:r w:rsidRPr="006A15A9">
              <w:t>1. Abstract clinical data from highly complex medical records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5A9" w:rsidP="006A15A9">
            <w:pPr>
              <w:pStyle w:val="BodyText"/>
            </w:pPr>
            <w:r w:rsidRPr="006A15A9">
              <w:t>1.1 Abstract appropriate conditions/diseases and procedure</w:t>
            </w:r>
            <w:r w:rsidRPr="006A15A9">
              <w:t>s from highly complex medical records from a range of specialties</w:t>
            </w:r>
          </w:p>
          <w:p w:rsidR="00000000" w:rsidRPr="006A15A9" w:rsidP="006A15A9">
            <w:pPr>
              <w:pStyle w:val="BodyText"/>
            </w:pPr>
            <w:r w:rsidRPr="006A15A9">
              <w:t xml:space="preserve">1.2 Interpret and apply the </w:t>
            </w:r>
            <w:r w:rsidRPr="006A15A9">
              <w:rPr>
                <w:rStyle w:val="Emphasis"/>
              </w:rPr>
              <w:t>Australian coding standards</w:t>
            </w:r>
            <w:r w:rsidRPr="006A15A9">
              <w:t xml:space="preserve"> (ACS) to ensure correct assignment of codes from a varied and highly complex casemix</w:t>
            </w:r>
          </w:p>
          <w:p w:rsidR="00000000" w:rsidRPr="006A15A9" w:rsidP="006A15A9">
            <w:pPr>
              <w:pStyle w:val="BodyText"/>
            </w:pPr>
            <w:r w:rsidRPr="006A15A9">
              <w:t>1.3 Identify the principal diagnosis and principa</w:t>
            </w:r>
            <w:r w:rsidRPr="006A15A9">
              <w:t xml:space="preserve">l procedure for an admission when coding a varied and </w:t>
            </w:r>
            <w:r w:rsidRPr="006A15A9">
              <w:t>highly complex casemix</w:t>
            </w:r>
          </w:p>
          <w:p w:rsidR="00000000" w:rsidP="006A15A9">
            <w:pPr>
              <w:pStyle w:val="BodyText"/>
              <w:rPr>
                <w:lang w:val="en-NZ"/>
              </w:rPr>
            </w:pPr>
            <w:r w:rsidRPr="006A15A9">
              <w:t xml:space="preserve">1.4 Identify additional diagnoses and procedures when coding a varied and highly complex casemix </w:t>
            </w:r>
          </w:p>
        </w:tc>
      </w:tr>
      <w:tr w:rsidTr="006A1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A9">
            <w:pPr>
              <w:pStyle w:val="BodyText"/>
              <w:rPr>
                <w:lang w:val="en-NZ"/>
              </w:rPr>
            </w:pPr>
          </w:p>
        </w:tc>
      </w:tr>
      <w:tr w:rsidTr="006A1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A9">
            <w:pPr>
              <w:pStyle w:val="BodyText"/>
              <w:rPr>
                <w:lang w:val="en-NZ"/>
              </w:rPr>
            </w:pPr>
            <w:r w:rsidRPr="006A15A9">
              <w:t>2. Assign codes relating to highly complex medical records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5A9" w:rsidP="006A15A9">
            <w:pPr>
              <w:pStyle w:val="BodyText"/>
            </w:pPr>
            <w:r w:rsidRPr="006A15A9">
              <w:t>2.1 Perform clinic</w:t>
            </w:r>
            <w:r w:rsidRPr="006A15A9">
              <w:t xml:space="preserve">al coding on a broad casemix, utilising knowledge of medical science and applying </w:t>
            </w:r>
            <w:r w:rsidRPr="006A15A9">
              <w:rPr>
                <w:rStyle w:val="Emphasis"/>
              </w:rPr>
              <w:t xml:space="preserve">International statistical classification of diseases and related health problems </w:t>
            </w:r>
            <w:r w:rsidRPr="006A15A9">
              <w:t xml:space="preserve">(ICD-10-AM), </w:t>
            </w:r>
            <w:r w:rsidRPr="006A15A9">
              <w:rPr>
                <w:rStyle w:val="Emphasis"/>
              </w:rPr>
              <w:t xml:space="preserve">Australian classification of health interventions </w:t>
            </w:r>
            <w:r w:rsidRPr="006A15A9">
              <w:t>(ACHI) and ACS new edition cha</w:t>
            </w:r>
            <w:r w:rsidRPr="006A15A9">
              <w:t xml:space="preserve">nges </w:t>
            </w:r>
          </w:p>
          <w:p w:rsidR="00000000" w:rsidRPr="006A15A9" w:rsidP="006A15A9">
            <w:pPr>
              <w:pStyle w:val="BodyText"/>
            </w:pPr>
            <w:r w:rsidRPr="006A15A9">
              <w:t>2.2 Apply ACS where appropriate, to ensure the correct assignment of codes when coding from highly complex medical records for a range of specialties</w:t>
            </w:r>
          </w:p>
          <w:p w:rsidR="00000000" w:rsidRPr="006A15A9" w:rsidP="006A15A9">
            <w:pPr>
              <w:pStyle w:val="BodyText"/>
            </w:pPr>
            <w:r w:rsidRPr="006A15A9">
              <w:t>2.3 Assign complete and accurate ICD-10-AM disease and ACHI procedure codes abstracted from a varied</w:t>
            </w:r>
            <w:r w:rsidRPr="006A15A9">
              <w:t xml:space="preserve"> and highly complex casemix</w:t>
            </w:r>
          </w:p>
          <w:p w:rsidR="00000000" w:rsidRPr="006A15A9" w:rsidP="006A15A9">
            <w:pPr>
              <w:pStyle w:val="BodyText"/>
            </w:pPr>
            <w:r w:rsidRPr="006A15A9">
              <w:t>2.4 Utilise appropriate</w:t>
            </w:r>
            <w:r w:rsidRPr="006A15A9">
              <w:rPr>
                <w:rStyle w:val="Emphasis"/>
              </w:rPr>
              <w:t xml:space="preserve"> </w:t>
            </w:r>
            <w:r w:rsidRPr="006A15A9">
              <w:t>resources to make informed coding decisions relating to highly complex medical records</w:t>
            </w:r>
          </w:p>
          <w:p w:rsidR="00000000" w:rsidRPr="006A15A9" w:rsidP="006A15A9">
            <w:pPr>
              <w:pStyle w:val="BodyText"/>
            </w:pPr>
            <w:r w:rsidRPr="006A15A9">
              <w:t>2.5 Ensure coding reflects the correct sequencing of diagnoses and procedures</w:t>
            </w:r>
          </w:p>
          <w:p w:rsidR="00000000" w:rsidRPr="006A15A9" w:rsidP="006A15A9">
            <w:pPr>
              <w:pStyle w:val="BodyText"/>
            </w:pPr>
            <w:r w:rsidRPr="006A15A9">
              <w:t>2.6 Identify coding issues and determine appropriate solutions</w:t>
            </w:r>
          </w:p>
          <w:p w:rsidR="00000000" w:rsidRPr="006A15A9" w:rsidP="006A15A9">
            <w:pPr>
              <w:pStyle w:val="BodyText"/>
            </w:pPr>
            <w:r w:rsidRPr="006A15A9">
              <w:t>2.7 Complete the process of assigning the correct codes from highly complex medical records within appropriate timeframes</w:t>
            </w:r>
          </w:p>
          <w:p w:rsidR="00000000" w:rsidRPr="006A15A9" w:rsidP="006A15A9">
            <w:pPr>
              <w:pStyle w:val="BodyText"/>
            </w:pPr>
            <w:r w:rsidRPr="006A15A9">
              <w:t xml:space="preserve">2.8 Maintain confidentiality of medical records and client information </w:t>
            </w:r>
            <w:r w:rsidRPr="006A15A9">
              <w:t>at all times</w:t>
            </w:r>
          </w:p>
          <w:p w:rsidR="00000000" w:rsidP="006A15A9">
            <w:pPr>
              <w:pStyle w:val="BodyText"/>
              <w:rPr>
                <w:lang w:val="en-NZ"/>
              </w:rPr>
            </w:pPr>
            <w:r w:rsidRPr="006A15A9">
              <w:t>2.9 Meet occupational health and safety duty of care requirements</w:t>
            </w:r>
          </w:p>
        </w:tc>
      </w:tr>
      <w:tr w:rsidTr="006A1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A9">
            <w:pPr>
              <w:pStyle w:val="BodyText"/>
              <w:rPr>
                <w:lang w:val="en-NZ"/>
              </w:rPr>
            </w:pPr>
          </w:p>
        </w:tc>
      </w:tr>
      <w:tr w:rsidTr="006A1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A9">
            <w:pPr>
              <w:pStyle w:val="BodyText"/>
              <w:rPr>
                <w:lang w:val="en-NZ"/>
              </w:rPr>
            </w:pPr>
            <w:r w:rsidRPr="006A15A9">
              <w:t>3. Provide clinical coding expertise in the workplace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5A9" w:rsidP="006A15A9">
            <w:pPr>
              <w:pStyle w:val="BodyText"/>
            </w:pPr>
            <w:r w:rsidRPr="006A15A9">
              <w:t>3.1 Add value to discussions regarding clinical coding within the coding unit</w:t>
            </w:r>
          </w:p>
          <w:p w:rsidR="00000000" w:rsidRPr="006A15A9" w:rsidP="006A15A9">
            <w:pPr>
              <w:pStyle w:val="BodyText"/>
            </w:pPr>
            <w:r w:rsidRPr="006A15A9">
              <w:t>3.2 Provide mentoring support for entry l</w:t>
            </w:r>
            <w:r w:rsidRPr="006A15A9">
              <w:t>evel clinical coders</w:t>
            </w:r>
          </w:p>
          <w:p w:rsidR="00000000" w:rsidRPr="006A15A9" w:rsidP="006A15A9">
            <w:pPr>
              <w:pStyle w:val="BodyText"/>
            </w:pPr>
            <w:r w:rsidRPr="006A15A9">
              <w:t>3.3 Supervise an entry level clinical coder and select appropriate medical records for them</w:t>
            </w:r>
          </w:p>
          <w:p w:rsidR="00000000" w:rsidRPr="006A15A9" w:rsidP="006A15A9">
            <w:pPr>
              <w:pStyle w:val="BodyText"/>
            </w:pPr>
            <w:r w:rsidRPr="006A15A9">
              <w:t>3.4 Follow up with clinicians regarding ambiguities in documentation, where required</w:t>
            </w:r>
          </w:p>
          <w:p w:rsidR="00000000" w:rsidP="006A15A9">
            <w:pPr>
              <w:pStyle w:val="BodyText"/>
              <w:rPr>
                <w:lang w:val="en-NZ"/>
              </w:rPr>
            </w:pPr>
            <w:r w:rsidRPr="006A15A9">
              <w:t>3.5 Conduct research using appropriate materials/ resource</w:t>
            </w:r>
            <w:r w:rsidRPr="006A15A9">
              <w:t>s and or clinical input to generate solutions to address clinical coding issues</w:t>
            </w:r>
          </w:p>
        </w:tc>
      </w:tr>
      <w:tr w:rsidTr="006A1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A9">
            <w:pPr>
              <w:pStyle w:val="BodyText"/>
              <w:rPr>
                <w:lang w:val="en-NZ"/>
              </w:rPr>
            </w:pPr>
          </w:p>
        </w:tc>
      </w:tr>
      <w:tr w:rsidTr="006A1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A9">
            <w:pPr>
              <w:pStyle w:val="BodyText"/>
              <w:rPr>
                <w:lang w:val="en-NZ"/>
              </w:rPr>
            </w:pPr>
            <w:r w:rsidRPr="006A15A9">
              <w:t>4. Maintain currency of data collection and coding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5A9" w:rsidP="006A15A9">
            <w:pPr>
              <w:pStyle w:val="BodyText"/>
            </w:pPr>
            <w:r w:rsidRPr="006A15A9">
              <w:t>4.1 Record, enter, edit and maintain a client information system of coded data (disease index)</w:t>
            </w:r>
          </w:p>
          <w:p w:rsidR="00000000" w:rsidRPr="006A15A9" w:rsidP="006A15A9">
            <w:pPr>
              <w:pStyle w:val="BodyText"/>
            </w:pPr>
            <w:r w:rsidRPr="006A15A9">
              <w:t>4.2 Secure and interpret c</w:t>
            </w:r>
            <w:r w:rsidRPr="006A15A9">
              <w:t>hanges to data collection and coding requirements, according to relevant standards, protocols and legislation</w:t>
            </w:r>
          </w:p>
          <w:p w:rsidR="00000000" w:rsidRPr="006A15A9" w:rsidP="006A15A9">
            <w:pPr>
              <w:pStyle w:val="BodyText"/>
            </w:pPr>
            <w:r w:rsidRPr="006A15A9">
              <w:t>4.3 Identify necessary amendments to data collection and coding activities</w:t>
            </w:r>
          </w:p>
          <w:p w:rsidR="00000000" w:rsidRPr="006A15A9" w:rsidP="006A15A9">
            <w:pPr>
              <w:pStyle w:val="BodyText"/>
            </w:pPr>
            <w:r w:rsidRPr="006A15A9">
              <w:t>4.4 Provide necessary information and training to ensure that amendments are implemented with maximum ease</w:t>
            </w:r>
          </w:p>
          <w:p w:rsidR="00000000" w:rsidRPr="006A15A9" w:rsidP="006A15A9">
            <w:pPr>
              <w:pStyle w:val="BodyText"/>
            </w:pPr>
            <w:r w:rsidRPr="006A15A9">
              <w:t>4.5 Ensure computer software is updated to meet any adjustment needs</w:t>
            </w:r>
          </w:p>
          <w:p w:rsidR="00000000" w:rsidRPr="006A15A9" w:rsidP="006A15A9">
            <w:pPr>
              <w:pStyle w:val="BodyText"/>
            </w:pPr>
            <w:r w:rsidRPr="006A15A9">
              <w:t>4.6 Monitor the implementation of amendments</w:t>
            </w:r>
          </w:p>
        </w:tc>
      </w:tr>
    </w:tbl>
    <w:p w:rsidR="007D4BF9" w:rsidP="006A15A9">
      <w:pPr>
        <w:pStyle w:val="BodyText"/>
      </w:pPr>
    </w:p>
    <w:p w:rsidR="007D4BF9" w:rsidP="006A15A9">
      <w:pPr>
        <w:pStyle w:val="BodyText"/>
      </w:pPr>
    </w:p>
    <w:p w:rsidR="00000000" w:rsidRPr="006A15A9" w:rsidP="006A15A9">
      <w:pPr>
        <w:pStyle w:val="Heading1"/>
      </w:pPr>
      <w:bookmarkStart w:id="4" w:name="O_655348"/>
      <w:bookmarkEnd w:id="4"/>
      <w:r w:rsidRPr="006A15A9">
        <w:t>Foundation Skil</w:t>
      </w:r>
      <w:r w:rsidRPr="006A15A9">
        <w:t>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6A1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A9">
            <w:pPr>
              <w:pStyle w:val="BodyText"/>
              <w:rPr>
                <w:lang w:val="en-NZ"/>
              </w:rPr>
            </w:pPr>
            <w:r w:rsidRPr="006A15A9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6A15A9">
              <w:t xml:space="preserve">skills) that are essential </w:t>
            </w:r>
            <w:r w:rsidRPr="006A15A9">
              <w:rPr>
                <w:rStyle w:val="Emphasis"/>
              </w:rPr>
              <w:t>to performance.</w:t>
            </w:r>
          </w:p>
        </w:tc>
      </w:tr>
      <w:tr w:rsidTr="006A1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5A9" w:rsidP="006A15A9">
            <w:pPr>
              <w:pStyle w:val="BodyText"/>
            </w:pPr>
          </w:p>
          <w:p w:rsidR="00000000" w:rsidRPr="006A15A9" w:rsidP="006A15A9">
            <w:pPr>
              <w:pStyle w:val="BodyText"/>
            </w:pPr>
            <w:r w:rsidRPr="006A15A9">
              <w:t>Foundation skills essential to performance are explicit in the performance criteria of this unit of competency</w:t>
            </w:r>
            <w:r w:rsidRPr="006A15A9">
              <w:t>.</w:t>
            </w:r>
          </w:p>
        </w:tc>
      </w:tr>
    </w:tbl>
    <w:p w:rsidR="007D4BF9" w:rsidP="006A15A9">
      <w:pPr>
        <w:pStyle w:val="BodyText"/>
      </w:pPr>
    </w:p>
    <w:p w:rsidR="007D4BF9" w:rsidP="006A15A9">
      <w:pPr>
        <w:pStyle w:val="BodyText"/>
      </w:pPr>
    </w:p>
    <w:p w:rsidR="00000000" w:rsidRPr="006A15A9" w:rsidP="006A15A9">
      <w:pPr>
        <w:pStyle w:val="Heading1"/>
      </w:pPr>
      <w:bookmarkStart w:id="5" w:name="O_655350"/>
      <w:bookmarkEnd w:id="5"/>
      <w:r w:rsidRPr="006A15A9">
        <w:t>Unit Mapping Information</w:t>
      </w:r>
    </w:p>
    <w:p w:rsidR="00000000" w:rsidRPr="006A15A9" w:rsidP="007D4BF9">
      <w:pPr>
        <w:pStyle w:val="BodyText"/>
      </w:pPr>
      <w:r w:rsidRPr="006A15A9">
        <w:t>No Equivalent unit.</w:t>
      </w:r>
    </w:p>
    <w:p w:rsidR="00000000" w:rsidRPr="006A15A9" w:rsidP="006A15A9">
      <w:pPr>
        <w:pStyle w:val="Heading1"/>
      </w:pPr>
      <w:bookmarkStart w:id="6" w:name="O_655357"/>
      <w:bookmarkEnd w:id="6"/>
      <w:r w:rsidRPr="006A15A9">
        <w:t>Links</w:t>
      </w:r>
    </w:p>
    <w:p w:rsidR="00000000" w:rsidRPr="006A15A9" w:rsidP="007D4BF9">
      <w:pPr>
        <w:pStyle w:val="BodyText"/>
      </w:pPr>
      <w:r w:rsidRPr="006A15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C6A2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A15A9" w:rsidP="006A15A9"/>
    <w:sectPr w:rsidSect="006A15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A9" w:rsidRPr="007D4BF9" w:rsidP="007D4B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F9" w:rsidP="006A15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4BF9" w:rsidP="006A15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D4BF9" w:rsidP="006A15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15A9" w:rsidRPr="007D4BF9" w:rsidP="007D4B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F9" w:rsidRPr="002D2AF8" w:rsidP="006A15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HLTADM007 Complete highly complex clinical coding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7D4BF9" w:rsidP="006A15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5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5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5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5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5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5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5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5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5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5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5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5A9"/>
  </w:style>
  <w:style w:type="character" w:customStyle="1" w:styleId="Heading1Char">
    <w:name w:val="Heading 1 Char"/>
    <w:basedOn w:val="DefaultParagraphFont"/>
    <w:link w:val="Heading1"/>
    <w:rsid w:val="006A15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5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5A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A15A9"/>
    <w:rPr>
      <w:b/>
      <w:spacing w:val="0"/>
    </w:rPr>
  </w:style>
  <w:style w:type="character" w:styleId="Emphasis">
    <w:name w:val="Emphasis"/>
    <w:basedOn w:val="DefaultParagraphFont"/>
    <w:qFormat/>
    <w:rsid w:val="006A15A9"/>
    <w:rPr>
      <w:i/>
    </w:rPr>
  </w:style>
  <w:style w:type="paragraph" w:customStyle="1" w:styleId="SuperHeading">
    <w:name w:val="SuperHeading"/>
    <w:basedOn w:val="Normal"/>
    <w:rsid w:val="006A15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15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15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5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5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5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5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5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5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5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5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15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5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15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5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5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15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15A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15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15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5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5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15A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15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5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5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5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5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5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5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5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5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15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5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5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5A9"/>
  </w:style>
  <w:style w:type="paragraph" w:styleId="TableofFigures">
    <w:name w:val="table of figures"/>
    <w:basedOn w:val="Normal"/>
    <w:next w:val="Normal"/>
    <w:semiHidden/>
    <w:rsid w:val="006A15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5A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A15A9"/>
    <w:rPr>
      <w:rFonts w:ascii="Wingdings" w:hAnsi="Wingdings"/>
    </w:rPr>
  </w:style>
  <w:style w:type="paragraph" w:customStyle="1" w:styleId="TableHeading">
    <w:name w:val="Table Heading"/>
    <w:basedOn w:val="HeadingBase"/>
    <w:rsid w:val="006A15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15A9"/>
    <w:rPr>
      <w:color w:val="0033CC"/>
      <w:u w:val="none"/>
    </w:rPr>
  </w:style>
  <w:style w:type="paragraph" w:customStyle="1" w:styleId="BodyTextRight">
    <w:name w:val="Body Text Right"/>
    <w:basedOn w:val="BodyText"/>
    <w:rsid w:val="006A15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5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5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5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5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5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5A9"/>
    <w:rPr>
      <w:sz w:val="32"/>
    </w:rPr>
  </w:style>
  <w:style w:type="paragraph" w:customStyle="1" w:styleId="HeadingProcedure">
    <w:name w:val="Heading Procedure"/>
    <w:basedOn w:val="HeadingBase"/>
    <w:next w:val="Normal"/>
    <w:rsid w:val="006A15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5A9"/>
    <w:pPr>
      <w:spacing w:before="60" w:after="60"/>
    </w:pPr>
  </w:style>
  <w:style w:type="paragraph" w:styleId="ListContinue">
    <w:name w:val="List Continue"/>
    <w:basedOn w:val="List"/>
    <w:rsid w:val="006A15A9"/>
    <w:pPr>
      <w:ind w:firstLine="0"/>
    </w:pPr>
  </w:style>
  <w:style w:type="paragraph" w:customStyle="1" w:styleId="ListNote">
    <w:name w:val="List Note"/>
    <w:basedOn w:val="List"/>
    <w:rsid w:val="006A15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5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5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5A9"/>
    <w:rPr>
      <w:rFonts w:ascii="Courier New" w:hAnsi="Courier New"/>
    </w:rPr>
  </w:style>
  <w:style w:type="paragraph" w:customStyle="1" w:styleId="NoteBullet">
    <w:name w:val="Note Bullet"/>
    <w:basedOn w:val="Note"/>
    <w:rsid w:val="006A15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5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5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5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5A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A15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5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5A9"/>
    <w:rPr>
      <w:b/>
      <w:smallCaps/>
    </w:rPr>
  </w:style>
  <w:style w:type="paragraph" w:customStyle="1" w:styleId="TableListNumber">
    <w:name w:val="Table List Number"/>
    <w:basedOn w:val="ListNumber"/>
    <w:rsid w:val="006A15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5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5A9"/>
    <w:pPr>
      <w:numPr>
        <w:numId w:val="7"/>
      </w:numPr>
    </w:pPr>
  </w:style>
  <w:style w:type="paragraph" w:customStyle="1" w:styleId="ListAlpha2">
    <w:name w:val="List Alpha 2"/>
    <w:basedOn w:val="List2"/>
    <w:rsid w:val="006A15A9"/>
    <w:pPr>
      <w:numPr>
        <w:numId w:val="6"/>
      </w:numPr>
    </w:pPr>
  </w:style>
  <w:style w:type="paragraph" w:styleId="List2">
    <w:name w:val="List 2"/>
    <w:basedOn w:val="BodyText"/>
    <w:rsid w:val="006A15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5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5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5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15A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15A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15A9"/>
    <w:pPr>
      <w:numPr>
        <w:numId w:val="2"/>
      </w:numPr>
    </w:pPr>
  </w:style>
  <w:style w:type="paragraph" w:styleId="ListContinue2">
    <w:name w:val="List Continue 2"/>
    <w:basedOn w:val="List2"/>
    <w:rsid w:val="006A15A9"/>
    <w:pPr>
      <w:ind w:firstLine="0"/>
    </w:pPr>
  </w:style>
  <w:style w:type="paragraph" w:styleId="ListContinue3">
    <w:name w:val="List Continue 3"/>
    <w:basedOn w:val="List3"/>
    <w:rsid w:val="006A15A9"/>
    <w:pPr>
      <w:ind w:left="1021" w:firstLine="0"/>
    </w:pPr>
  </w:style>
  <w:style w:type="paragraph" w:styleId="ListContinue4">
    <w:name w:val="List Continue 4"/>
    <w:basedOn w:val="List4"/>
    <w:rsid w:val="006A15A9"/>
    <w:pPr>
      <w:ind w:firstLine="0"/>
    </w:pPr>
  </w:style>
  <w:style w:type="paragraph" w:styleId="ListContinue5">
    <w:name w:val="List Continue 5"/>
    <w:basedOn w:val="List5"/>
    <w:rsid w:val="006A15A9"/>
    <w:pPr>
      <w:ind w:firstLine="0"/>
    </w:pPr>
  </w:style>
  <w:style w:type="paragraph" w:styleId="ListNumber3">
    <w:name w:val="List Number 3"/>
    <w:basedOn w:val="List3"/>
    <w:rsid w:val="006A15A9"/>
    <w:pPr>
      <w:numPr>
        <w:numId w:val="3"/>
      </w:numPr>
    </w:pPr>
  </w:style>
  <w:style w:type="paragraph" w:styleId="ListNumber4">
    <w:name w:val="List Number 4"/>
    <w:basedOn w:val="List4"/>
    <w:rsid w:val="006A15A9"/>
    <w:pPr>
      <w:numPr>
        <w:numId w:val="4"/>
      </w:numPr>
    </w:pPr>
  </w:style>
  <w:style w:type="paragraph" w:styleId="ListNumber5">
    <w:name w:val="List Number 5"/>
    <w:basedOn w:val="List5"/>
    <w:rsid w:val="006A15A9"/>
    <w:pPr>
      <w:numPr>
        <w:numId w:val="5"/>
      </w:numPr>
    </w:pPr>
  </w:style>
  <w:style w:type="paragraph" w:styleId="BlockText">
    <w:name w:val="Block Text"/>
    <w:basedOn w:val="Normal"/>
    <w:rsid w:val="006A15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5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5A9"/>
    <w:rPr>
      <w:sz w:val="16"/>
      <w:vertAlign w:val="superscript"/>
    </w:rPr>
  </w:style>
  <w:style w:type="character" w:customStyle="1" w:styleId="Symbols">
    <w:name w:val="Symbols"/>
    <w:basedOn w:val="DefaultParagraphFont"/>
    <w:rsid w:val="006A15A9"/>
    <w:rPr>
      <w:rFonts w:ascii="Symbol" w:hAnsi="Symbol"/>
    </w:rPr>
  </w:style>
  <w:style w:type="character" w:customStyle="1" w:styleId="MenuOptions">
    <w:name w:val="Menu Options"/>
    <w:basedOn w:val="DefaultParagraphFont"/>
    <w:rsid w:val="006A15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5A9"/>
    <w:rPr>
      <w:b/>
    </w:rPr>
  </w:style>
  <w:style w:type="character" w:customStyle="1" w:styleId="Underlined">
    <w:name w:val="Underlined"/>
    <w:basedOn w:val="DefaultParagraphFont"/>
    <w:rsid w:val="006A15A9"/>
    <w:rPr>
      <w:u w:val="single"/>
    </w:rPr>
  </w:style>
  <w:style w:type="paragraph" w:customStyle="1" w:styleId="TableBodyTextRight">
    <w:name w:val="Table Body Text Right"/>
    <w:basedOn w:val="TableBodyText"/>
    <w:rsid w:val="006A15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5A9"/>
    <w:rPr>
      <w:sz w:val="18"/>
    </w:rPr>
  </w:style>
  <w:style w:type="paragraph" w:customStyle="1" w:styleId="BodySmallRight">
    <w:name w:val="Body Small Right"/>
    <w:basedOn w:val="BodyTextRight"/>
    <w:rsid w:val="006A15A9"/>
    <w:rPr>
      <w:sz w:val="18"/>
      <w:szCs w:val="18"/>
    </w:rPr>
  </w:style>
  <w:style w:type="paragraph" w:customStyle="1" w:styleId="MarginEdition">
    <w:name w:val="Margin Edition"/>
    <w:basedOn w:val="MarginNote"/>
    <w:rsid w:val="006A15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5A9"/>
    <w:rPr>
      <w:sz w:val="2"/>
      <w:szCs w:val="2"/>
    </w:rPr>
  </w:style>
  <w:style w:type="character" w:customStyle="1" w:styleId="Small">
    <w:name w:val="Small"/>
    <w:basedOn w:val="DefaultParagraphFont"/>
    <w:rsid w:val="006A15A9"/>
    <w:rPr>
      <w:sz w:val="16"/>
    </w:rPr>
  </w:style>
  <w:style w:type="paragraph" w:customStyle="1" w:styleId="WideTable">
    <w:name w:val="Wide Table"/>
    <w:basedOn w:val="Normal"/>
    <w:rsid w:val="006A15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5A9"/>
  </w:style>
  <w:style w:type="paragraph" w:styleId="Quote">
    <w:name w:val="Quote"/>
    <w:basedOn w:val="Heading1"/>
    <w:link w:val="QuoteChar"/>
    <w:qFormat/>
    <w:rsid w:val="006A15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5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5A9"/>
    <w:pPr>
      <w:pageBreakBefore/>
    </w:pPr>
  </w:style>
  <w:style w:type="paragraph" w:customStyle="1" w:styleId="Border">
    <w:name w:val="Border"/>
    <w:basedOn w:val="Normal"/>
    <w:qFormat/>
    <w:rsid w:val="006A15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5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5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5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5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5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5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5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5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5A9"/>
    <w:rPr>
      <w:u w:val="single"/>
    </w:rPr>
  </w:style>
  <w:style w:type="character" w:customStyle="1" w:styleId="BoldandItalics">
    <w:name w:val="Bold and Italics"/>
    <w:qFormat/>
    <w:rsid w:val="006A15A9"/>
    <w:rPr>
      <w:b/>
      <w:i/>
      <w:u w:val="none"/>
    </w:rPr>
  </w:style>
  <w:style w:type="paragraph" w:styleId="BalloonText">
    <w:name w:val="Balloon Text"/>
    <w:basedOn w:val="Normal"/>
    <w:link w:val="BalloonTextChar"/>
    <w:rsid w:val="006A15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5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5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5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5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5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15A9"/>
    <w:pPr>
      <w:spacing w:before="0" w:after="0"/>
    </w:pPr>
  </w:style>
  <w:style w:type="paragraph" w:customStyle="1" w:styleId="BodyTextBold">
    <w:name w:val="Body Text Bold"/>
    <w:basedOn w:val="BodyText"/>
    <w:qFormat/>
    <w:rsid w:val="006A15A9"/>
    <w:rPr>
      <w:b/>
    </w:rPr>
  </w:style>
  <w:style w:type="character" w:styleId="Hyperlink">
    <w:name w:val="Hyperlink"/>
    <w:basedOn w:val="DefaultParagraphFont"/>
    <w:uiPriority w:val="99"/>
    <w:unhideWhenUsed/>
    <w:rsid w:val="007D4B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3989</Characters>
  <Application>Microsoft Office Word</Application>
  <DocSecurity>0</DocSecurity>
  <Lines>132</Lines>
  <Paragraphs>63</Paragraphs>
  <ScaleCrop>false</ScaleCrop>
  <Company>Author-it Software Corporation Ltd.</Company>
  <LinksUpToDate>false</LinksUpToDate>
  <CharactersWithSpaces>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HLTADM007 Complete highly complex clinical coding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2022-04-08T09:31:00Z</dcterms:created>
  <dcterms:modified xsi:type="dcterms:W3CDTF">2022-04-08T09:31:00Z</dcterms:modified>
</cp:coreProperties>
</file>