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7349B" w:rsidP="00C7349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HLTAADV003 Support the rights and needs of clients in the justice system</w:t>
      </w:r>
      <w:r>
        <w:fldChar w:fldCharType="end"/>
      </w:r>
    </w:p>
    <w:p w:rsidR="00C7349B" w:rsidP="00C7349B">
      <w:pPr>
        <w:pStyle w:val="Version"/>
        <w:sectPr w:rsidSect="001D7CF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D7CFA" w:rsidP="001D7CFA">
      <w:pPr>
        <w:pStyle w:val="SuperHeading"/>
      </w:pPr>
      <w:r w:rsidRPr="001D7CFA">
        <w:t>Assessment Requirements for HLTAADV003 Support the rights and needs of clients in the justice system</w:t>
      </w:r>
    </w:p>
    <w:p w:rsidR="00000000" w:rsidRPr="001D7CFA" w:rsidP="001D7CFA">
      <w:pPr>
        <w:pStyle w:val="Heading1"/>
      </w:pPr>
      <w:bookmarkStart w:id="1" w:name="O_1275898"/>
      <w:bookmarkEnd w:id="1"/>
      <w:r w:rsidRPr="001D7CFA">
        <w:t>Modification History</w:t>
      </w:r>
    </w:p>
    <w:p w:rsidR="00000000" w:rsidRPr="001D7CFA" w:rsidP="00C7349B">
      <w:pPr>
        <w:pStyle w:val="BodyText"/>
      </w:pPr>
      <w:r w:rsidRPr="001D7CFA">
        <w:t>Not applicable.</w:t>
      </w:r>
    </w:p>
    <w:p w:rsidR="00000000" w:rsidRPr="001D7CFA" w:rsidP="001D7CFA">
      <w:pPr>
        <w:pStyle w:val="Heading1"/>
      </w:pPr>
      <w:bookmarkStart w:id="2" w:name="O_1275901"/>
      <w:bookmarkEnd w:id="2"/>
      <w:r w:rsidRPr="001D7CFA">
        <w:t>Performance Evidence</w:t>
      </w:r>
    </w:p>
    <w:p w:rsidR="00000000" w:rsidRPr="001D7CFA" w:rsidP="00C7349B">
      <w:pPr>
        <w:pStyle w:val="BodyText"/>
      </w:pPr>
      <w:r w:rsidRPr="001D7CFA">
        <w:t xml:space="preserve">Evidence </w:t>
      </w:r>
      <w:r w:rsidRPr="001D7CFA">
        <w:t>of the ability to complete tasks outlined in elements and performance criteria of this unit in the context of the job role, and:</w:t>
      </w:r>
    </w:p>
    <w:p w:rsidR="00000000" w:rsidRPr="001D7CFA" w:rsidP="001D7CFA">
      <w:pPr>
        <w:pStyle w:val="ListBullet"/>
      </w:pPr>
      <w:r w:rsidRPr="001D7CFA">
        <w:t>support three different Aboriginal and/or Torres Strait Islander clients in the justice system, and consistently:</w:t>
      </w:r>
    </w:p>
    <w:p w:rsidR="00000000" w:rsidRPr="001D7CFA" w:rsidP="001D7CFA">
      <w:pPr>
        <w:pStyle w:val="ListBullet2"/>
      </w:pPr>
      <w:r w:rsidRPr="001D7CFA">
        <w:t>communicate</w:t>
      </w:r>
      <w:r w:rsidRPr="001D7CFA">
        <w:t xml:space="preserve"> in culturally safe ways</w:t>
      </w:r>
    </w:p>
    <w:p w:rsidR="00000000" w:rsidRPr="001D7CFA" w:rsidP="001D7CFA">
      <w:pPr>
        <w:pStyle w:val="ListBullet2"/>
      </w:pPr>
      <w:r w:rsidRPr="001D7CFA">
        <w:t>use positive and respectful communication with clients and justice organisation workers</w:t>
      </w:r>
    </w:p>
    <w:p w:rsidR="00000000" w:rsidRPr="001D7CFA" w:rsidP="001D7CFA">
      <w:pPr>
        <w:pStyle w:val="ListBullet"/>
      </w:pPr>
      <w:r w:rsidRPr="001D7CFA">
        <w:t>for each of the three clients:</w:t>
      </w:r>
    </w:p>
    <w:p w:rsidR="00000000" w:rsidRPr="001D7CFA" w:rsidP="001D7CFA">
      <w:pPr>
        <w:pStyle w:val="ListBullet2"/>
      </w:pPr>
      <w:r w:rsidRPr="001D7CFA">
        <w:t>advocate on behalf of the client to the justice organisation</w:t>
      </w:r>
    </w:p>
    <w:p w:rsidR="00000000" w:rsidRPr="001D7CFA" w:rsidP="001D7CFA">
      <w:pPr>
        <w:pStyle w:val="ListBullet2"/>
      </w:pPr>
      <w:r w:rsidRPr="001D7CFA">
        <w:t>negotiate at least one conflict situation</w:t>
      </w:r>
    </w:p>
    <w:p w:rsidR="00000000" w:rsidRPr="001D7CFA" w:rsidP="001D7CFA">
      <w:pPr>
        <w:pStyle w:val="ListBullet2"/>
      </w:pPr>
      <w:r w:rsidRPr="001D7CFA">
        <w:t>provide</w:t>
      </w:r>
      <w:r w:rsidRPr="001D7CFA">
        <w:t xml:space="preserve"> information and advice to the client about ways to support each of the following while involved in the justice system:</w:t>
      </w:r>
    </w:p>
    <w:p w:rsidR="00000000" w:rsidRPr="001D7CFA" w:rsidP="001D7CFA">
      <w:pPr>
        <w:pStyle w:val="ListBullet3"/>
      </w:pPr>
      <w:r w:rsidRPr="001D7CFA">
        <w:t>physical wellbeing</w:t>
      </w:r>
    </w:p>
    <w:p w:rsidR="00000000" w:rsidRPr="001D7CFA" w:rsidP="001D7CFA">
      <w:pPr>
        <w:pStyle w:val="ListBullet3"/>
      </w:pPr>
      <w:r w:rsidRPr="001D7CFA">
        <w:t>social and emotional wellbeing</w:t>
      </w:r>
    </w:p>
    <w:p w:rsidR="00000000" w:rsidRPr="001D7CFA" w:rsidP="001D7CFA">
      <w:pPr>
        <w:pStyle w:val="ListBullet"/>
      </w:pPr>
      <w:r w:rsidRPr="001D7CFA">
        <w:t>for one justice organisation, review existing cultural safety practices and provide a brief written or verbal report on:</w:t>
      </w:r>
    </w:p>
    <w:p w:rsidR="00000000" w:rsidRPr="001D7CFA" w:rsidP="001D7CFA">
      <w:pPr>
        <w:pStyle w:val="ListBullet2"/>
      </w:pPr>
      <w:r w:rsidRPr="001D7CFA">
        <w:t>potential issues arising from current practice</w:t>
      </w:r>
    </w:p>
    <w:p w:rsidR="00000000" w:rsidRPr="001D7CFA" w:rsidP="001D7CFA">
      <w:pPr>
        <w:pStyle w:val="ListBullet2"/>
      </w:pPr>
      <w:r w:rsidRPr="001D7CFA">
        <w:t>ways that practices could be improved.</w:t>
      </w:r>
    </w:p>
    <w:p w:rsidR="00000000" w:rsidRPr="001D7CFA" w:rsidP="001D7CFA">
      <w:pPr>
        <w:pStyle w:val="AllowPageBreak"/>
      </w:pPr>
    </w:p>
    <w:p w:rsidR="00000000" w:rsidRPr="001D7CFA" w:rsidP="001D7CFA">
      <w:pPr>
        <w:pStyle w:val="Heading1"/>
      </w:pPr>
      <w:bookmarkStart w:id="3" w:name="O_1275900"/>
      <w:bookmarkEnd w:id="3"/>
      <w:r w:rsidRPr="001D7CFA">
        <w:t>Knowledge Evidence</w:t>
      </w:r>
    </w:p>
    <w:p w:rsidR="00000000" w:rsidRPr="001D7CFA" w:rsidP="00C7349B">
      <w:pPr>
        <w:pStyle w:val="BodyText"/>
      </w:pPr>
      <w:r w:rsidRPr="001D7CFA">
        <w:t>Demonstrated knowledge required to complete the tasks outlined in elements and performance criteria of this unit:</w:t>
      </w:r>
    </w:p>
    <w:p w:rsidR="00000000" w:rsidRPr="001D7CFA" w:rsidP="001D7CFA">
      <w:pPr>
        <w:pStyle w:val="ListBullet"/>
      </w:pPr>
      <w:r w:rsidRPr="001D7CFA">
        <w:t>organisational procedures for maintaining confidentiality of client information</w:t>
      </w:r>
    </w:p>
    <w:p w:rsidR="00000000" w:rsidRPr="001D7CFA" w:rsidP="001D7CFA">
      <w:pPr>
        <w:pStyle w:val="ListBullet"/>
      </w:pPr>
      <w:r w:rsidRPr="001D7CFA">
        <w:t>basic aspects of the Australian criminal justice system and t</w:t>
      </w:r>
      <w:r w:rsidRPr="001D7CFA">
        <w:t>he fundamental roles of:</w:t>
      </w:r>
    </w:p>
    <w:p w:rsidR="00000000" w:rsidRPr="001D7CFA" w:rsidP="001D7CFA">
      <w:pPr>
        <w:pStyle w:val="ListBullet2"/>
      </w:pPr>
      <w:r w:rsidRPr="001D7CFA">
        <w:t>commonwealth and state or territory governments</w:t>
      </w:r>
    </w:p>
    <w:p w:rsidR="00000000" w:rsidRPr="001D7CFA" w:rsidP="001D7CFA">
      <w:pPr>
        <w:pStyle w:val="ListBullet2"/>
      </w:pPr>
      <w:r w:rsidRPr="001D7CFA">
        <w:t>law enforcement</w:t>
      </w:r>
    </w:p>
    <w:p w:rsidR="00000000" w:rsidRPr="001D7CFA" w:rsidP="001D7CFA">
      <w:pPr>
        <w:pStyle w:val="ListBullet2"/>
      </w:pPr>
      <w:r w:rsidRPr="001D7CFA">
        <w:t>court system</w:t>
      </w:r>
    </w:p>
    <w:p w:rsidR="00000000" w:rsidRPr="001D7CFA" w:rsidP="001D7CFA">
      <w:pPr>
        <w:pStyle w:val="ListBullet2"/>
      </w:pPr>
      <w:r w:rsidRPr="001D7CFA">
        <w:t>corrections</w:t>
      </w:r>
    </w:p>
    <w:p w:rsidR="00000000" w:rsidRPr="001D7CFA" w:rsidP="001D7CFA">
      <w:pPr>
        <w:pStyle w:val="ListBullet"/>
      </w:pPr>
      <w:r w:rsidRPr="001D7CFA">
        <w:t>overview of the key stages of the criminal justice process and different types of support that may be needed at each stage</w:t>
      </w:r>
    </w:p>
    <w:p w:rsidR="00000000" w:rsidRPr="001D7CFA" w:rsidP="001D7CFA">
      <w:pPr>
        <w:pStyle w:val="ListBullet"/>
      </w:pPr>
      <w:r w:rsidRPr="001D7CFA">
        <w:t>different types o</w:t>
      </w:r>
      <w:r w:rsidRPr="001D7CFA">
        <w:t>f correctional facilities and their operating structures and philosophies</w:t>
      </w:r>
    </w:p>
    <w:p w:rsidR="00000000" w:rsidRPr="001D7CFA" w:rsidP="001D7CFA">
      <w:pPr>
        <w:pStyle w:val="ListBullet"/>
      </w:pPr>
      <w:r w:rsidRPr="001D7CFA">
        <w:t>responsibilities and role boundaries of different individuals involved in the health care of clients in the justice system:</w:t>
      </w:r>
    </w:p>
    <w:p w:rsidR="00000000" w:rsidRPr="001D7CFA" w:rsidP="001D7CFA">
      <w:pPr>
        <w:pStyle w:val="ListBullet2"/>
      </w:pPr>
      <w:r w:rsidRPr="001D7CFA">
        <w:t>medical practitioners</w:t>
      </w:r>
    </w:p>
    <w:p w:rsidR="00000000" w:rsidRPr="001D7CFA" w:rsidP="001D7CFA">
      <w:pPr>
        <w:pStyle w:val="ListBullet2"/>
      </w:pPr>
      <w:r w:rsidRPr="001D7CFA">
        <w:t>Aboriginal and/or Torres Strait Isl</w:t>
      </w:r>
      <w:r w:rsidRPr="001D7CFA">
        <w:t>ander health workers and practitioners</w:t>
      </w:r>
    </w:p>
    <w:p w:rsidR="00000000" w:rsidRPr="001D7CFA" w:rsidP="001D7CFA">
      <w:pPr>
        <w:pStyle w:val="ListBullet2"/>
      </w:pPr>
      <w:r w:rsidRPr="001D7CFA">
        <w:t>community services workers</w:t>
      </w:r>
    </w:p>
    <w:p w:rsidR="00000000" w:rsidRPr="001D7CFA" w:rsidP="001D7CFA">
      <w:pPr>
        <w:pStyle w:val="ListBullet2"/>
      </w:pPr>
      <w:r w:rsidRPr="001D7CFA">
        <w:t>officers of the court</w:t>
      </w:r>
    </w:p>
    <w:p w:rsidR="00000000" w:rsidRPr="001D7CFA" w:rsidP="001D7CFA">
      <w:pPr>
        <w:pStyle w:val="ListBullet2"/>
      </w:pPr>
      <w:r w:rsidRPr="001D7CFA">
        <w:t>corrections staff</w:t>
      </w:r>
    </w:p>
    <w:p w:rsidR="00000000" w:rsidRPr="001D7CFA" w:rsidP="001D7CFA">
      <w:pPr>
        <w:pStyle w:val="ListBullet"/>
      </w:pPr>
      <w:r w:rsidRPr="001D7CFA">
        <w:t>the importance of cultural safety for Aboriginal and/or Torres Strait Islander clients in the justice system, and:</w:t>
      </w:r>
    </w:p>
    <w:p w:rsidR="00000000" w:rsidRPr="001D7CFA" w:rsidP="001D7CFA">
      <w:pPr>
        <w:pStyle w:val="ListBullet2"/>
      </w:pPr>
      <w:r w:rsidRPr="001D7CFA">
        <w:t>definitions of cultural safety including definitions expressed by current national, and local state or territory Aboriginal and/or Torres Strait Islander health and cultural safety strategies including government and non-government</w:t>
      </w:r>
    </w:p>
    <w:p w:rsidR="00000000" w:rsidRPr="001D7CFA" w:rsidP="001D7CFA">
      <w:pPr>
        <w:pStyle w:val="ListBullet2"/>
      </w:pPr>
      <w:r w:rsidRPr="001D7CFA">
        <w:t>cultural safety and comm</w:t>
      </w:r>
      <w:r w:rsidRPr="001D7CFA">
        <w:t>unication protocols that apply generally and within the local community</w:t>
      </w:r>
    </w:p>
    <w:p w:rsidR="00000000" w:rsidRPr="001D7CFA" w:rsidP="001D7CFA">
      <w:pPr>
        <w:pStyle w:val="ListBullet2"/>
      </w:pPr>
      <w:r w:rsidRPr="001D7CFA">
        <w:t>constraints to cultural safety when Aboriginal and/or Torres Strait Islander clients are in the justice system</w:t>
      </w:r>
    </w:p>
    <w:p w:rsidR="00000000" w:rsidRPr="001D7CFA" w:rsidP="001D7CFA">
      <w:pPr>
        <w:pStyle w:val="ListBullet2"/>
      </w:pPr>
      <w:r w:rsidRPr="001D7CFA">
        <w:t>practical ways that cultural safety can be provided to clients in the jus</w:t>
      </w:r>
      <w:r w:rsidRPr="001D7CFA">
        <w:t>tice system</w:t>
      </w:r>
    </w:p>
    <w:p w:rsidR="00000000" w:rsidRPr="001D7CFA" w:rsidP="001D7CFA">
      <w:pPr>
        <w:pStyle w:val="ListBullet"/>
      </w:pPr>
      <w:r w:rsidRPr="001D7CFA">
        <w:t>communication techniques that support effective advocacy in the justice system</w:t>
      </w:r>
    </w:p>
    <w:p w:rsidR="00000000" w:rsidRPr="001D7CFA" w:rsidP="001D7CFA">
      <w:pPr>
        <w:pStyle w:val="ListBullet"/>
      </w:pPr>
      <w:r w:rsidRPr="001D7CFA">
        <w:t>types of challenges for advocacy when clients are in the justice system:</w:t>
      </w:r>
    </w:p>
    <w:p w:rsidR="00000000" w:rsidRPr="001D7CFA" w:rsidP="001D7CFA">
      <w:pPr>
        <w:pStyle w:val="ListBullet2"/>
      </w:pPr>
      <w:r w:rsidRPr="001D7CFA">
        <w:t>limited access to, and communication with, clients</w:t>
      </w:r>
    </w:p>
    <w:p w:rsidR="00000000" w:rsidRPr="001D7CFA" w:rsidP="001D7CFA">
      <w:pPr>
        <w:pStyle w:val="ListBullet2"/>
      </w:pPr>
      <w:r w:rsidRPr="001D7CFA">
        <w:t>attitudes of individuals in the justice</w:t>
      </w:r>
      <w:r w:rsidRPr="001D7CFA">
        <w:t xml:space="preserve"> organisation</w:t>
      </w:r>
    </w:p>
    <w:p w:rsidR="00000000" w:rsidRPr="001D7CFA" w:rsidP="001D7CFA">
      <w:pPr>
        <w:pStyle w:val="ListBullet2"/>
      </w:pPr>
      <w:r w:rsidRPr="001D7CFA">
        <w:t>insensitivity to cultural difference</w:t>
      </w:r>
    </w:p>
    <w:p w:rsidR="00000000" w:rsidRPr="001D7CFA" w:rsidP="001D7CFA">
      <w:pPr>
        <w:pStyle w:val="ListBullet2"/>
      </w:pPr>
      <w:r w:rsidRPr="001D7CFA">
        <w:t>systemic issues which inhibit advocacy activities</w:t>
      </w:r>
    </w:p>
    <w:p w:rsidR="00000000" w:rsidRPr="001D7CFA" w:rsidP="001D7CFA">
      <w:pPr>
        <w:pStyle w:val="ListBullet"/>
      </w:pPr>
      <w:r w:rsidRPr="001D7CFA">
        <w:t>how client health care options may be impacted and limited when in the justice system:</w:t>
      </w:r>
    </w:p>
    <w:p w:rsidR="00000000" w:rsidRPr="001D7CFA" w:rsidP="001D7CFA">
      <w:pPr>
        <w:pStyle w:val="ListBullet2"/>
      </w:pPr>
      <w:r w:rsidRPr="001D7CFA">
        <w:t>availability of services</w:t>
      </w:r>
    </w:p>
    <w:p w:rsidR="00000000" w:rsidRPr="001D7CFA" w:rsidP="001D7CFA">
      <w:pPr>
        <w:pStyle w:val="ListBullet2"/>
      </w:pPr>
      <w:r w:rsidRPr="001D7CFA">
        <w:t>availability of professional expertise</w:t>
      </w:r>
    </w:p>
    <w:p w:rsidR="00000000" w:rsidRPr="001D7CFA" w:rsidP="001D7CFA">
      <w:pPr>
        <w:pStyle w:val="ListBullet2"/>
      </w:pPr>
      <w:r w:rsidRPr="001D7CFA">
        <w:t>limited opportunities for holistic care</w:t>
      </w:r>
    </w:p>
    <w:p w:rsidR="00000000" w:rsidRPr="001D7CFA" w:rsidP="001D7CFA">
      <w:pPr>
        <w:pStyle w:val="ListBullet2"/>
      </w:pPr>
      <w:r w:rsidRPr="001D7CFA">
        <w:t>geographical constraints</w:t>
      </w:r>
    </w:p>
    <w:p w:rsidR="00000000" w:rsidRPr="001D7CFA" w:rsidP="001D7CFA">
      <w:pPr>
        <w:pStyle w:val="ListBullet2"/>
      </w:pPr>
      <w:r w:rsidRPr="001D7CFA">
        <w:t>limitations on contact with family and community</w:t>
      </w:r>
    </w:p>
    <w:p w:rsidR="00000000" w:rsidRPr="001D7CFA" w:rsidP="001D7CFA">
      <w:pPr>
        <w:pStyle w:val="ListBullet"/>
      </w:pPr>
      <w:r w:rsidRPr="001D7CFA">
        <w:t>ways to support own physical, social and emotional wellbeing when working with clients in the justice system</w:t>
      </w:r>
    </w:p>
    <w:p w:rsidR="00000000" w:rsidRPr="001D7CFA" w:rsidP="001D7CFA">
      <w:pPr>
        <w:pStyle w:val="ListBullet"/>
      </w:pPr>
      <w:r w:rsidRPr="001D7CFA">
        <w:t>cultural safety in the justice s</w:t>
      </w:r>
      <w:r w:rsidRPr="001D7CFA">
        <w:t>ystem:</w:t>
      </w:r>
    </w:p>
    <w:p w:rsidR="00000000" w:rsidRPr="001D7CFA" w:rsidP="001D7CFA">
      <w:pPr>
        <w:pStyle w:val="ListBullet2"/>
      </w:pPr>
      <w:r w:rsidRPr="001D7CFA">
        <w:t>historical background</w:t>
      </w:r>
    </w:p>
    <w:p w:rsidR="00000000" w:rsidRPr="001D7CFA" w:rsidP="001D7CFA">
      <w:pPr>
        <w:pStyle w:val="ListBullet2"/>
      </w:pPr>
      <w:r w:rsidRPr="001D7CFA">
        <w:t>types of issues that arise</w:t>
      </w:r>
    </w:p>
    <w:p w:rsidR="00000000" w:rsidRPr="001D7CFA" w:rsidP="001D7CFA">
      <w:pPr>
        <w:pStyle w:val="ListBullet2"/>
      </w:pPr>
      <w:r w:rsidRPr="001D7CFA">
        <w:t>individual and systemic barriers to change</w:t>
      </w:r>
    </w:p>
    <w:p w:rsidR="00000000" w:rsidRPr="001D7CFA" w:rsidP="001D7CFA">
      <w:pPr>
        <w:pStyle w:val="ListBullet2"/>
      </w:pPr>
      <w:r w:rsidRPr="001D7CFA">
        <w:t>ways that change can be promoted and achieved.</w:t>
      </w:r>
    </w:p>
    <w:p w:rsidR="00000000" w:rsidRPr="001D7CFA" w:rsidP="001D7CFA">
      <w:pPr>
        <w:pStyle w:val="AllowPageBreak"/>
      </w:pPr>
    </w:p>
    <w:p w:rsidR="00000000" w:rsidRPr="001D7CFA" w:rsidP="001D7CFA">
      <w:pPr>
        <w:pStyle w:val="Heading1"/>
      </w:pPr>
      <w:bookmarkStart w:id="4" w:name="O_1275899"/>
      <w:bookmarkEnd w:id="4"/>
      <w:r w:rsidRPr="001D7CFA">
        <w:t>Assessment Conditions</w:t>
      </w:r>
    </w:p>
    <w:p w:rsidR="00000000" w:rsidRPr="001D7CFA" w:rsidP="00C7349B">
      <w:pPr>
        <w:pStyle w:val="BodyText"/>
      </w:pPr>
      <w:r w:rsidRPr="001D7CFA">
        <w:t>Skills can be demonstrated through:</w:t>
      </w:r>
    </w:p>
    <w:p w:rsidR="00000000" w:rsidRPr="001D7CFA" w:rsidP="001D7CFA">
      <w:pPr>
        <w:pStyle w:val="ListBullet"/>
      </w:pPr>
      <w:r w:rsidRPr="001D7CFA">
        <w:t>work activities completed withi</w:t>
      </w:r>
      <w:r w:rsidRPr="001D7CFA">
        <w:t>n an Aboriginal and/or Torres Strait Islander health service, or</w:t>
      </w:r>
    </w:p>
    <w:p w:rsidR="00000000" w:rsidRPr="001D7CFA" w:rsidP="001D7CFA">
      <w:pPr>
        <w:pStyle w:val="ListBullet"/>
      </w:pPr>
      <w:r w:rsidRPr="001D7CFA">
        <w:t>simulations and case studies completed within a training organisation, based on comprehensive information about clients and actual or simulated justice organisations.</w:t>
      </w:r>
    </w:p>
    <w:p w:rsidR="00000000" w:rsidRPr="001D7CFA" w:rsidP="00C7349B">
      <w:pPr>
        <w:pStyle w:val="BodyText"/>
      </w:pPr>
      <w:r w:rsidRPr="001D7CFA">
        <w:t>Assessment must ensure the use of:</w:t>
      </w:r>
    </w:p>
    <w:p w:rsidR="00000000" w:rsidRPr="001D7CFA" w:rsidP="001D7CFA">
      <w:pPr>
        <w:pStyle w:val="ListBullet"/>
      </w:pPr>
      <w:r w:rsidRPr="001D7CFA">
        <w:t>interaction with Aboriginal and/or Torres Strait Islander clients and justice organisation workers either through actual work activities or simulations</w:t>
      </w:r>
    </w:p>
    <w:p w:rsidR="00000000" w:rsidRPr="001D7CFA" w:rsidP="001D7CFA">
      <w:pPr>
        <w:pStyle w:val="ListBullet"/>
      </w:pPr>
      <w:r w:rsidRPr="001D7CFA">
        <w:t xml:space="preserve">information about the structure and operating procedures of justice </w:t>
      </w:r>
      <w:r w:rsidRPr="001D7CFA">
        <w:t>organisations</w:t>
      </w:r>
    </w:p>
    <w:p w:rsidR="00000000" w:rsidRPr="001D7CFA" w:rsidP="001D7CFA">
      <w:pPr>
        <w:pStyle w:val="ListBullet"/>
      </w:pPr>
      <w:r w:rsidRPr="001D7CFA">
        <w:t>organisational procedures for maintaining confidentiality of client information.</w:t>
      </w:r>
    </w:p>
    <w:p w:rsidR="00000000" w:rsidRPr="001D7CFA" w:rsidP="00C7349B">
      <w:pPr>
        <w:pStyle w:val="BodyText"/>
      </w:pPr>
      <w:r w:rsidRPr="001D7CFA">
        <w:t>Assessors must satisfy the Standards for Registered Training Organisations requirements for assessors, and:</w:t>
      </w:r>
    </w:p>
    <w:p w:rsidR="00000000" w:rsidRPr="001D7CFA" w:rsidP="001D7CFA">
      <w:pPr>
        <w:pStyle w:val="ListBullet"/>
      </w:pPr>
      <w:r w:rsidRPr="001D7CFA">
        <w:t>be an Aboriginal and/or Torres Strait Islander perso</w:t>
      </w:r>
      <w:r w:rsidRPr="001D7CFA">
        <w:t>n who has applied the skills and knowledge covered in this unit of competency through experience working as an Aboriginal and/or Torres Strait Islander health worker or practitioner, or</w:t>
      </w:r>
    </w:p>
    <w:p w:rsidR="00000000" w:rsidRPr="001D7CFA" w:rsidP="001D7CFA">
      <w:pPr>
        <w:pStyle w:val="ListBullet"/>
      </w:pPr>
      <w:r w:rsidRPr="001D7CFA">
        <w:t>be a registered health practitioner or an advocate with experience rel</w:t>
      </w:r>
      <w:r w:rsidRPr="001D7CFA">
        <w:t>evant to this unit of competency and be accompanied by, or have assessments validated by, an Aboriginal and/or Torres Strait Islander person.</w:t>
      </w:r>
    </w:p>
    <w:p w:rsidR="00000000" w:rsidRPr="001D7CFA" w:rsidP="001D7CFA">
      <w:pPr>
        <w:pStyle w:val="AllowPageBreak"/>
      </w:pPr>
    </w:p>
    <w:p w:rsidR="00000000" w:rsidRPr="001D7CFA" w:rsidP="001D7CFA">
      <w:pPr>
        <w:pStyle w:val="Heading1"/>
      </w:pPr>
      <w:bookmarkStart w:id="5" w:name="O_1275897"/>
      <w:bookmarkEnd w:id="5"/>
      <w:r w:rsidRPr="001D7CFA">
        <w:t>Links</w:t>
      </w:r>
    </w:p>
    <w:p w:rsidR="00000000" w:rsidRPr="001D7CFA" w:rsidP="00C7349B">
      <w:pPr>
        <w:pStyle w:val="BodyText"/>
      </w:pPr>
      <w:r w:rsidRPr="001D7CF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397974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1D7CFA" w:rsidP="001D7CFA"/>
    <w:sectPr w:rsidSect="001D7CF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7CF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7CFA" w:rsidRPr="00C7349B" w:rsidP="00C7349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7CF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349B" w:rsidP="001D7CF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7349B" w:rsidP="001D7CF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C7349B" w:rsidP="001D7CF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7CF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349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D7CFA" w:rsidRPr="00C7349B" w:rsidP="00C7349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7CF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349B" w:rsidRPr="002D2AF8" w:rsidP="001D7CF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HLTAADV003 Support the rights and needs of clients in the justice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C7349B" w:rsidP="001D7CF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902709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912CA9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F74132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7CF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D7CF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D7CF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D7CF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D7CF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D7CF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D7CF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D7CF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D7CF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D7CF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D7CF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D7CFA"/>
  </w:style>
  <w:style w:type="character" w:customStyle="1" w:styleId="Heading1Char">
    <w:name w:val="Heading 1 Char"/>
    <w:basedOn w:val="DefaultParagraphFont"/>
    <w:link w:val="Heading1"/>
    <w:rsid w:val="001D7CF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D7CF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D7CF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D7CFA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D7CFA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D7CF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D7CF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1D7CFA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1D7CF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D7CF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D7CF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D7CF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D7CF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D7CF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D7CF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D7CF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D7CF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D7CF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D7CF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D7CF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D7CF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D7CF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D7CF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D7CF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D7CF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D7CF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D7CF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D7CF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D7CFA"/>
    <w:rPr>
      <w:b/>
      <w:spacing w:val="0"/>
    </w:rPr>
  </w:style>
  <w:style w:type="paragraph" w:customStyle="1" w:styleId="SuperTitle">
    <w:name w:val="SuperTitle"/>
    <w:basedOn w:val="Title"/>
    <w:rsid w:val="001D7CF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D7CF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D7CF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D7CF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D7CF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D7CF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D7CF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D7CF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D7CF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D7CF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D7CF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D7CF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D7CFA"/>
    <w:rPr>
      <w:i/>
    </w:rPr>
  </w:style>
  <w:style w:type="paragraph" w:styleId="Caption">
    <w:name w:val="caption"/>
    <w:basedOn w:val="BodyText"/>
    <w:next w:val="Normal"/>
    <w:qFormat/>
    <w:rsid w:val="001D7CF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D7CF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D7CF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D7CFA"/>
  </w:style>
  <w:style w:type="paragraph" w:styleId="TableofFigures">
    <w:name w:val="table of figures"/>
    <w:basedOn w:val="Normal"/>
    <w:next w:val="Normal"/>
    <w:semiHidden/>
    <w:rsid w:val="001D7CF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D7CFA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1D7CFA"/>
    <w:rPr>
      <w:rFonts w:ascii="Wingdings" w:hAnsi="Wingdings"/>
    </w:rPr>
  </w:style>
  <w:style w:type="paragraph" w:customStyle="1" w:styleId="TableHeading">
    <w:name w:val="Table Heading"/>
    <w:basedOn w:val="HeadingBase"/>
    <w:rsid w:val="001D7CF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D7CFA"/>
    <w:rPr>
      <w:color w:val="0033CC"/>
      <w:u w:val="none"/>
    </w:rPr>
  </w:style>
  <w:style w:type="paragraph" w:customStyle="1" w:styleId="BodyTextRight">
    <w:name w:val="Body Text Right"/>
    <w:basedOn w:val="BodyText"/>
    <w:rsid w:val="001D7CF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D7CF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D7CFA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D7CF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D7CF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D7CF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D7CFA"/>
    <w:rPr>
      <w:sz w:val="32"/>
    </w:rPr>
  </w:style>
  <w:style w:type="paragraph" w:customStyle="1" w:styleId="HeadingProcedure">
    <w:name w:val="Heading Procedure"/>
    <w:basedOn w:val="HeadingBase"/>
    <w:next w:val="Normal"/>
    <w:rsid w:val="001D7CF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D7CFA"/>
    <w:pPr>
      <w:spacing w:before="60" w:after="60"/>
    </w:pPr>
  </w:style>
  <w:style w:type="paragraph" w:styleId="ListContinue">
    <w:name w:val="List Continue"/>
    <w:basedOn w:val="List"/>
    <w:rsid w:val="001D7CFA"/>
    <w:pPr>
      <w:ind w:firstLine="0"/>
    </w:pPr>
  </w:style>
  <w:style w:type="paragraph" w:customStyle="1" w:styleId="ListNote">
    <w:name w:val="List Note"/>
    <w:basedOn w:val="List"/>
    <w:rsid w:val="001D7CF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D7CF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D7CF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D7CFA"/>
    <w:rPr>
      <w:rFonts w:ascii="Courier New" w:hAnsi="Courier New"/>
    </w:rPr>
  </w:style>
  <w:style w:type="paragraph" w:customStyle="1" w:styleId="NoteBullet">
    <w:name w:val="Note Bullet"/>
    <w:basedOn w:val="Note"/>
    <w:rsid w:val="001D7CF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D7CF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D7CF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D7CF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D7CFA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1D7CF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D7CF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D7CFA"/>
    <w:rPr>
      <w:b/>
      <w:smallCaps/>
    </w:rPr>
  </w:style>
  <w:style w:type="paragraph" w:customStyle="1" w:styleId="TableListNumber">
    <w:name w:val="Table List Number"/>
    <w:basedOn w:val="ListNumber"/>
    <w:rsid w:val="001D7CF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D7CF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D7CFA"/>
    <w:pPr>
      <w:numPr>
        <w:numId w:val="10"/>
      </w:numPr>
    </w:pPr>
  </w:style>
  <w:style w:type="paragraph" w:customStyle="1" w:styleId="ListAlpha2">
    <w:name w:val="List Alpha 2"/>
    <w:basedOn w:val="List2"/>
    <w:rsid w:val="001D7CFA"/>
    <w:pPr>
      <w:numPr>
        <w:numId w:val="9"/>
      </w:numPr>
    </w:pPr>
  </w:style>
  <w:style w:type="paragraph" w:styleId="List2">
    <w:name w:val="List 2"/>
    <w:basedOn w:val="BodyText"/>
    <w:rsid w:val="001D7CF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D7CF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D7CF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D7CFA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1D7CFA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1D7CFA"/>
    <w:pPr>
      <w:numPr>
        <w:numId w:val="5"/>
      </w:numPr>
    </w:pPr>
  </w:style>
  <w:style w:type="paragraph" w:styleId="ListContinue2">
    <w:name w:val="List Continue 2"/>
    <w:basedOn w:val="List2"/>
    <w:rsid w:val="001D7CFA"/>
    <w:pPr>
      <w:ind w:firstLine="0"/>
    </w:pPr>
  </w:style>
  <w:style w:type="paragraph" w:styleId="ListContinue3">
    <w:name w:val="List Continue 3"/>
    <w:basedOn w:val="List3"/>
    <w:rsid w:val="001D7CFA"/>
    <w:pPr>
      <w:ind w:left="1021" w:firstLine="0"/>
    </w:pPr>
  </w:style>
  <w:style w:type="paragraph" w:styleId="ListContinue4">
    <w:name w:val="List Continue 4"/>
    <w:basedOn w:val="List4"/>
    <w:rsid w:val="001D7CFA"/>
    <w:pPr>
      <w:ind w:firstLine="0"/>
    </w:pPr>
  </w:style>
  <w:style w:type="paragraph" w:styleId="ListContinue5">
    <w:name w:val="List Continue 5"/>
    <w:basedOn w:val="List5"/>
    <w:rsid w:val="001D7CFA"/>
    <w:pPr>
      <w:ind w:firstLine="0"/>
    </w:pPr>
  </w:style>
  <w:style w:type="paragraph" w:styleId="ListNumber3">
    <w:name w:val="List Number 3"/>
    <w:basedOn w:val="List3"/>
    <w:rsid w:val="001D7CFA"/>
    <w:pPr>
      <w:numPr>
        <w:numId w:val="6"/>
      </w:numPr>
    </w:pPr>
  </w:style>
  <w:style w:type="paragraph" w:styleId="ListNumber4">
    <w:name w:val="List Number 4"/>
    <w:basedOn w:val="List4"/>
    <w:rsid w:val="001D7CFA"/>
    <w:pPr>
      <w:numPr>
        <w:numId w:val="7"/>
      </w:numPr>
    </w:pPr>
  </w:style>
  <w:style w:type="paragraph" w:styleId="ListNumber5">
    <w:name w:val="List Number 5"/>
    <w:basedOn w:val="List5"/>
    <w:rsid w:val="001D7CFA"/>
    <w:pPr>
      <w:numPr>
        <w:numId w:val="8"/>
      </w:numPr>
    </w:pPr>
  </w:style>
  <w:style w:type="paragraph" w:styleId="BlockText">
    <w:name w:val="Block Text"/>
    <w:basedOn w:val="Normal"/>
    <w:rsid w:val="001D7CF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D7CF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D7CFA"/>
    <w:rPr>
      <w:sz w:val="16"/>
      <w:vertAlign w:val="superscript"/>
    </w:rPr>
  </w:style>
  <w:style w:type="character" w:customStyle="1" w:styleId="Symbols">
    <w:name w:val="Symbols"/>
    <w:basedOn w:val="DefaultParagraphFont"/>
    <w:rsid w:val="001D7CFA"/>
    <w:rPr>
      <w:rFonts w:ascii="Symbol" w:hAnsi="Symbol"/>
    </w:rPr>
  </w:style>
  <w:style w:type="character" w:customStyle="1" w:styleId="MenuOptions">
    <w:name w:val="Menu Options"/>
    <w:basedOn w:val="DefaultParagraphFont"/>
    <w:rsid w:val="001D7CF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D7CFA"/>
    <w:rPr>
      <w:b/>
    </w:rPr>
  </w:style>
  <w:style w:type="character" w:customStyle="1" w:styleId="Underlined">
    <w:name w:val="Underlined"/>
    <w:basedOn w:val="DefaultParagraphFont"/>
    <w:rsid w:val="001D7CFA"/>
    <w:rPr>
      <w:u w:val="single"/>
    </w:rPr>
  </w:style>
  <w:style w:type="paragraph" w:customStyle="1" w:styleId="TableBodyTextRight">
    <w:name w:val="Table Body Text Right"/>
    <w:basedOn w:val="TableBodyText"/>
    <w:rsid w:val="001D7CF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D7CFA"/>
    <w:rPr>
      <w:sz w:val="18"/>
    </w:rPr>
  </w:style>
  <w:style w:type="paragraph" w:customStyle="1" w:styleId="BodySmallRight">
    <w:name w:val="Body Small Right"/>
    <w:basedOn w:val="BodyTextRight"/>
    <w:rsid w:val="001D7CFA"/>
    <w:rPr>
      <w:sz w:val="18"/>
      <w:szCs w:val="18"/>
    </w:rPr>
  </w:style>
  <w:style w:type="paragraph" w:customStyle="1" w:styleId="MarginEdition">
    <w:name w:val="Margin Edition"/>
    <w:basedOn w:val="MarginNote"/>
    <w:rsid w:val="001D7CF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D7CFA"/>
    <w:rPr>
      <w:sz w:val="2"/>
      <w:szCs w:val="2"/>
    </w:rPr>
  </w:style>
  <w:style w:type="character" w:customStyle="1" w:styleId="Small">
    <w:name w:val="Small"/>
    <w:basedOn w:val="DefaultParagraphFont"/>
    <w:rsid w:val="001D7CFA"/>
    <w:rPr>
      <w:sz w:val="16"/>
    </w:rPr>
  </w:style>
  <w:style w:type="paragraph" w:customStyle="1" w:styleId="WideTable">
    <w:name w:val="Wide Table"/>
    <w:basedOn w:val="Normal"/>
    <w:rsid w:val="001D7CF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D7CFA"/>
  </w:style>
  <w:style w:type="paragraph" w:styleId="Quote">
    <w:name w:val="Quote"/>
    <w:basedOn w:val="Heading1"/>
    <w:link w:val="QuoteChar"/>
    <w:qFormat/>
    <w:rsid w:val="001D7CF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D7CF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D7CFA"/>
    <w:pPr>
      <w:pageBreakBefore/>
    </w:pPr>
  </w:style>
  <w:style w:type="paragraph" w:customStyle="1" w:styleId="Border">
    <w:name w:val="Border"/>
    <w:basedOn w:val="Normal"/>
    <w:qFormat/>
    <w:rsid w:val="001D7CF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D7CF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D7CF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D7CF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D7CF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D7CF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D7CF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D7CF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D7CF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D7CFA"/>
    <w:rPr>
      <w:u w:val="single"/>
    </w:rPr>
  </w:style>
  <w:style w:type="character" w:customStyle="1" w:styleId="BoldandItalics">
    <w:name w:val="Bold and Italics"/>
    <w:qFormat/>
    <w:rsid w:val="001D7CFA"/>
    <w:rPr>
      <w:b/>
      <w:i/>
      <w:u w:val="none"/>
    </w:rPr>
  </w:style>
  <w:style w:type="paragraph" w:styleId="BalloonText">
    <w:name w:val="Balloon Text"/>
    <w:basedOn w:val="Normal"/>
    <w:link w:val="BalloonTextChar"/>
    <w:rsid w:val="001D7CF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D7CF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D7CF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D7CF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D7CF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D7CF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D7CFA"/>
    <w:pPr>
      <w:spacing w:before="0" w:after="0"/>
    </w:pPr>
  </w:style>
  <w:style w:type="paragraph" w:customStyle="1" w:styleId="BodyTextBold">
    <w:name w:val="Body Text Bold"/>
    <w:basedOn w:val="BodyText"/>
    <w:qFormat/>
    <w:rsid w:val="001D7CFA"/>
    <w:rPr>
      <w:b/>
    </w:rPr>
  </w:style>
  <w:style w:type="character" w:styleId="Hyperlink">
    <w:name w:val="Hyperlink"/>
    <w:basedOn w:val="DefaultParagraphFont"/>
    <w:uiPriority w:val="99"/>
    <w:unhideWhenUsed/>
    <w:rsid w:val="00C7349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700</Words>
  <Characters>4443</Characters>
  <Application>Microsoft Office Word</Application>
  <DocSecurity>0</DocSecurity>
  <Lines>105</Lines>
  <Paragraphs>82</Paragraphs>
  <ScaleCrop>false</ScaleCrop>
  <Company>Author-it Software Corporation Ltd.</Company>
  <LinksUpToDate>false</LinksUpToDate>
  <CharactersWithSpaces>5061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HLTAADV003 Support the rights and needs of clients in the justice system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2023-07-02T02:37:00Z</dcterms:created>
  <dcterms:modified xsi:type="dcterms:W3CDTF">2023-07-02T02:37:00Z</dcterms:modified>
</cp:coreProperties>
</file>