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3CBE" w:rsidP="00523C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HLT47515 Certificate IV in Operating Theatre Technical Support</w:t>
      </w:r>
      <w:r>
        <w:fldChar w:fldCharType="end"/>
      </w:r>
    </w:p>
    <w:p w:rsidR="00523CBE" w:rsidP="00523CBE">
      <w:pPr>
        <w:pStyle w:val="Version"/>
        <w:sectPr w:rsidSect="00C11C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C11C67" w:rsidP="00C11C67">
      <w:pPr>
        <w:pStyle w:val="SuperHeading"/>
      </w:pPr>
      <w:r w:rsidRPr="00C11C67">
        <w:t>HLT47515 Certificate IV in Operating Theatre Technical Support</w:t>
      </w:r>
    </w:p>
    <w:p w:rsidR="00000000" w:rsidRPr="00C11C67" w:rsidP="00C11C67">
      <w:pPr>
        <w:pStyle w:val="Heading1"/>
      </w:pPr>
      <w:bookmarkStart w:id="1" w:name="O_1281737"/>
      <w:bookmarkEnd w:id="1"/>
      <w:r w:rsidRPr="00C11C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00"/>
      </w:tblGrid>
      <w:tr w:rsidTr="00523C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C67" w:rsidP="00C11C67">
            <w:pPr>
              <w:pStyle w:val="BodyText"/>
            </w:pPr>
            <w:r w:rsidRPr="00C11C67">
              <w:rPr>
                <w:rStyle w:val="SpecialBold"/>
              </w:rPr>
              <w:t>Release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rPr>
                <w:rStyle w:val="SpecialBold"/>
              </w:rPr>
              <w:t>Comments</w:t>
            </w:r>
          </w:p>
        </w:tc>
      </w:tr>
      <w:tr w:rsidTr="00523C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>Release 4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>Release 4. Supersedes and is equivalent</w:t>
            </w:r>
            <w:r w:rsidRPr="00C11C67">
              <w:t xml:space="preserve"> to HLT47515 Certificate IV in Operating Theatre Technical Suppport release 3. Minor change to update Infection Control unit of competency.</w:t>
            </w:r>
          </w:p>
        </w:tc>
      </w:tr>
      <w:tr w:rsidTr="00523C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>Release 3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>Release 3. Supersedes and is equivalent to HLT47515 Certificate IV in Operating Theatre Technical Supppor</w:t>
            </w:r>
            <w:r w:rsidRPr="00C11C67">
              <w:t>t release 2. Minor change to update Infection Control unit of competency.</w:t>
            </w:r>
          </w:p>
        </w:tc>
      </w:tr>
      <w:tr w:rsidTr="00523C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>Release 2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C67" w:rsidP="00C11C67">
            <w:pPr>
              <w:pStyle w:val="BodyText"/>
            </w:pPr>
            <w:r w:rsidRPr="00C11C67">
              <w:t xml:space="preserve">Units of competency updated (see mapping at </w:t>
            </w:r>
            <w:r>
              <w:fldChar w:fldCharType="begin"/>
            </w:r>
            <w:r>
              <w:instrText xml:space="preserve"> HYPERLINK "http://www.cshisc.com.au" </w:instrText>
            </w:r>
            <w:r>
              <w:fldChar w:fldCharType="separate"/>
            </w:r>
            <w:r w:rsidRPr="00DA02E6">
              <w:rPr>
                <w:rStyle w:val="Hyperlink"/>
              </w:rPr>
              <w:t>www.cshisc.com.au</w:t>
            </w:r>
            <w:r>
              <w:fldChar w:fldCharType="end"/>
            </w:r>
            <w:r w:rsidRPr="00C11C67">
              <w:t>).</w:t>
            </w:r>
          </w:p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>Equivalent outcome.</w:t>
            </w:r>
          </w:p>
        </w:tc>
      </w:tr>
      <w:tr w:rsidTr="00523C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>Release 1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C67" w:rsidP="00C11C67">
            <w:pPr>
              <w:pStyle w:val="BodyText"/>
            </w:pPr>
            <w:r w:rsidRPr="00C11C67">
              <w:t xml:space="preserve">This version was released in </w:t>
            </w:r>
            <w:r w:rsidRPr="00C11C67">
              <w:rPr>
                <w:rStyle w:val="Emphasis"/>
              </w:rPr>
              <w:t xml:space="preserve">HLT Health Training Package release 2.0 </w:t>
            </w:r>
            <w:r w:rsidRPr="00C11C67">
              <w:t>and mee</w:t>
            </w:r>
            <w:r w:rsidRPr="00C11C67">
              <w:t>ts the requirements of the 2012 Standards for Training Packages.</w:t>
            </w:r>
          </w:p>
          <w:p w:rsidR="00000000" w:rsidRPr="00C11C67" w:rsidP="00C11C67">
            <w:pPr>
              <w:pStyle w:val="BodyText"/>
            </w:pPr>
            <w:r w:rsidRPr="00C11C67">
              <w:t>Change to packaging rules.</w:t>
            </w:r>
          </w:p>
        </w:tc>
      </w:tr>
    </w:tbl>
    <w:p w:rsidR="00000000" w:rsidRPr="00C11C67" w:rsidP="00C11C67">
      <w:pPr>
        <w:pStyle w:val="BodyText"/>
      </w:pPr>
    </w:p>
    <w:p w:rsidR="00000000" w:rsidRPr="00C11C67" w:rsidP="00C11C67">
      <w:pPr>
        <w:pStyle w:val="AllowPageBreak"/>
      </w:pPr>
    </w:p>
    <w:p w:rsidR="00000000" w:rsidRPr="00C11C67" w:rsidP="00C11C67">
      <w:pPr>
        <w:pStyle w:val="Heading1"/>
      </w:pPr>
      <w:bookmarkStart w:id="2" w:name="O_1281736"/>
      <w:bookmarkEnd w:id="2"/>
      <w:r w:rsidRPr="00C11C67">
        <w:t>Qualification Description</w:t>
      </w:r>
    </w:p>
    <w:p w:rsidR="00000000" w:rsidRPr="00C11C67" w:rsidP="00523CBE">
      <w:pPr>
        <w:pStyle w:val="BodyText"/>
      </w:pPr>
      <w:r w:rsidRPr="00C11C67">
        <w:t>This qualification reflects the role of senior operating theatre workers who provide assistance to operating theatre personnel.</w:t>
      </w:r>
    </w:p>
    <w:p w:rsidR="00000000" w:rsidRPr="00523CBE" w:rsidP="00523CBE">
      <w:pPr>
        <w:pStyle w:val="BodyText"/>
        <w:rPr>
          <w:i/>
        </w:rPr>
      </w:pPr>
      <w:r w:rsidRPr="00523CBE">
        <w:rPr>
          <w:rStyle w:val="Emphasis"/>
        </w:rPr>
        <w:t>No licensing, legislative, regulatory or certification requirements apply to this qualification at the time of publication.</w:t>
      </w:r>
    </w:p>
    <w:p w:rsidR="00000000" w:rsidRPr="00C11C67" w:rsidP="00C11C67">
      <w:pPr>
        <w:pStyle w:val="Heading1"/>
      </w:pPr>
      <w:bookmarkStart w:id="3" w:name="O_1281735"/>
      <w:bookmarkEnd w:id="3"/>
      <w:r w:rsidRPr="00C11C67">
        <w:t>Packaging Rules</w:t>
      </w:r>
    </w:p>
    <w:p w:rsidR="00000000" w:rsidRPr="00C11C67" w:rsidP="00523CBE">
      <w:pPr>
        <w:pStyle w:val="Heading3"/>
      </w:pPr>
      <w:r w:rsidRPr="00C11C67">
        <w:t>Total number of units = 15</w:t>
      </w:r>
    </w:p>
    <w:p w:rsidR="00000000" w:rsidRPr="00C11C67" w:rsidP="00C11C67">
      <w:pPr>
        <w:pStyle w:val="ListBullet"/>
      </w:pPr>
      <w:r w:rsidRPr="00C11C67">
        <w:t>10 core units</w:t>
      </w:r>
    </w:p>
    <w:p w:rsidR="00000000" w:rsidRPr="00C11C67" w:rsidP="00C11C67">
      <w:pPr>
        <w:pStyle w:val="ListBullet"/>
      </w:pPr>
      <w:r w:rsidRPr="00C11C67">
        <w:t>5 elective units, consisting of:</w:t>
      </w:r>
    </w:p>
    <w:p w:rsidR="00000000" w:rsidRPr="00C11C67" w:rsidP="00C11C67">
      <w:pPr>
        <w:pStyle w:val="ListBullet2"/>
      </w:pPr>
      <w:r w:rsidRPr="00C11C67">
        <w:t>up to 5 units from the electives listed below, any endorsed Training Package or accredited course – these units must be relevant to the work outcome</w:t>
      </w:r>
      <w:r w:rsidRPr="00C11C67">
        <w:t>.</w:t>
      </w:r>
    </w:p>
    <w:p w:rsidR="00000000" w:rsidRPr="00C11C67" w:rsidP="00523CBE">
      <w:pPr>
        <w:pStyle w:val="BodyText"/>
      </w:pPr>
      <w:r w:rsidRPr="00C11C67">
        <w:t>All electives chosen must contribute to a valid, industry-supported vocational outcome.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6938"/>
      </w:tblGrid>
      <w:tr w:rsidTr="00C11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rPr>
                <w:rStyle w:val="SpecialBold"/>
              </w:rPr>
              <w:t>Core units</w:t>
            </w:r>
          </w:p>
        </w:tc>
      </w:tr>
      <w:tr w:rsidTr="00C11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>CHCCOM005</w:t>
            </w:r>
          </w:p>
        </w:tc>
        <w:tc>
          <w:tcPr>
            <w:tcW w:w="69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>Communicate and work in health or community services</w:t>
            </w:r>
          </w:p>
        </w:tc>
      </w:tr>
      <w:tr w:rsidTr="00C11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>CHCDIV001</w:t>
            </w:r>
          </w:p>
        </w:tc>
        <w:tc>
          <w:tcPr>
            <w:tcW w:w="69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>Work with diverse people</w:t>
            </w:r>
          </w:p>
        </w:tc>
      </w:tr>
      <w:tr w:rsidTr="00C11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>CHCLEG001</w:t>
            </w:r>
          </w:p>
        </w:tc>
        <w:tc>
          <w:tcPr>
            <w:tcW w:w="69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>Work legally and ethically</w:t>
            </w:r>
          </w:p>
        </w:tc>
      </w:tr>
      <w:tr w:rsidTr="00C11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 xml:space="preserve">HLTINF007 </w:t>
            </w:r>
          </w:p>
        </w:tc>
        <w:tc>
          <w:tcPr>
            <w:tcW w:w="69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>Implement and monitor infection prevention and control standards, policies and procedures</w:t>
            </w:r>
          </w:p>
        </w:tc>
      </w:tr>
      <w:tr w:rsidTr="00C11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 xml:space="preserve">HLTTHE001 </w:t>
            </w:r>
          </w:p>
        </w:tc>
        <w:tc>
          <w:tcPr>
            <w:tcW w:w="69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 xml:space="preserve">Handle and care for operating theatre equipment </w:t>
            </w:r>
          </w:p>
        </w:tc>
      </w:tr>
      <w:tr w:rsidTr="00C11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 xml:space="preserve">HLTTHE002 </w:t>
            </w:r>
          </w:p>
        </w:tc>
        <w:tc>
          <w:tcPr>
            <w:tcW w:w="69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>Assist with preparation of clients for operative procedures</w:t>
            </w:r>
          </w:p>
        </w:tc>
      </w:tr>
      <w:tr w:rsidTr="00C11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 xml:space="preserve">HLTTHE003 </w:t>
            </w:r>
          </w:p>
        </w:tc>
        <w:tc>
          <w:tcPr>
            <w:tcW w:w="69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>Provide intra-operative equipment and technical support</w:t>
            </w:r>
          </w:p>
        </w:tc>
      </w:tr>
      <w:tr w:rsidTr="00C11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>HLTWHS003</w:t>
            </w:r>
          </w:p>
        </w:tc>
        <w:tc>
          <w:tcPr>
            <w:tcW w:w="69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>Maintain work health and safety</w:t>
            </w:r>
          </w:p>
        </w:tc>
      </w:tr>
      <w:tr w:rsidTr="00C11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>BSBMED301</w:t>
            </w:r>
          </w:p>
        </w:tc>
        <w:tc>
          <w:tcPr>
            <w:tcW w:w="69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>Interpret and apply medical terminology appropriately</w:t>
            </w:r>
          </w:p>
        </w:tc>
      </w:tr>
      <w:tr w:rsidTr="00C11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>BSBMGT403</w:t>
            </w:r>
          </w:p>
        </w:tc>
        <w:tc>
          <w:tcPr>
            <w:tcW w:w="69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C67" w:rsidP="00C11C67">
            <w:pPr>
              <w:pStyle w:val="BodyText"/>
            </w:pPr>
            <w:r w:rsidRPr="00C11C67">
              <w:t>Implement continuous improvement</w:t>
            </w:r>
          </w:p>
        </w:tc>
      </w:tr>
    </w:tbl>
    <w:p w:rsidR="00000000" w:rsidRPr="00C11C67" w:rsidP="00C11C6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6937"/>
      </w:tblGrid>
      <w:tr w:rsidTr="00C11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86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rPr>
                <w:rStyle w:val="SpecialBold"/>
              </w:rPr>
              <w:t>Elective units</w:t>
            </w:r>
          </w:p>
        </w:tc>
      </w:tr>
      <w:tr w:rsidTr="00C11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>CHCDIV002</w:t>
            </w:r>
          </w:p>
        </w:tc>
        <w:tc>
          <w:tcPr>
            <w:tcW w:w="6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>Promote Aboriginal and/or Torres Strait Islander cultural safety</w:t>
            </w:r>
          </w:p>
        </w:tc>
      </w:tr>
      <w:tr w:rsidTr="00C11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>CHCMGT003</w:t>
            </w:r>
          </w:p>
        </w:tc>
        <w:tc>
          <w:tcPr>
            <w:tcW w:w="6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 xml:space="preserve">Lead the work team </w:t>
            </w:r>
          </w:p>
        </w:tc>
      </w:tr>
      <w:tr w:rsidTr="00C11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>CHCPRP003</w:t>
            </w:r>
          </w:p>
        </w:tc>
        <w:tc>
          <w:tcPr>
            <w:tcW w:w="6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>Reflect on and improve own professional practice</w:t>
            </w:r>
          </w:p>
        </w:tc>
      </w:tr>
      <w:tr w:rsidTr="00C11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 xml:space="preserve">HLTAAP002 </w:t>
            </w:r>
          </w:p>
        </w:tc>
        <w:tc>
          <w:tcPr>
            <w:tcW w:w="6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 xml:space="preserve">Confirm physical health status </w:t>
            </w:r>
          </w:p>
        </w:tc>
      </w:tr>
      <w:tr w:rsidTr="00C11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>HLTHSS007</w:t>
            </w:r>
          </w:p>
        </w:tc>
        <w:tc>
          <w:tcPr>
            <w:tcW w:w="6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>Handle medical gases safely</w:t>
            </w:r>
          </w:p>
        </w:tc>
      </w:tr>
      <w:tr w:rsidTr="00C11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>HLTWHS005</w:t>
            </w:r>
          </w:p>
        </w:tc>
        <w:tc>
          <w:tcPr>
            <w:tcW w:w="6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>Conduc</w:t>
            </w:r>
            <w:r w:rsidRPr="00C11C67">
              <w:t>t manual tasks safely</w:t>
            </w:r>
          </w:p>
        </w:tc>
      </w:tr>
      <w:tr w:rsidTr="00C11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>BSBINM401</w:t>
            </w:r>
          </w:p>
        </w:tc>
        <w:tc>
          <w:tcPr>
            <w:tcW w:w="6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>Implement workplace information system</w:t>
            </w:r>
          </w:p>
        </w:tc>
      </w:tr>
      <w:tr w:rsidTr="00C11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>BSBINN301</w:t>
            </w:r>
          </w:p>
        </w:tc>
        <w:tc>
          <w:tcPr>
            <w:tcW w:w="6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>Promote innovation in a team environment</w:t>
            </w:r>
          </w:p>
        </w:tc>
      </w:tr>
      <w:tr w:rsidTr="00C11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>BSBLDR402</w:t>
            </w:r>
          </w:p>
        </w:tc>
        <w:tc>
          <w:tcPr>
            <w:tcW w:w="6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>Lead effective workplace relationships</w:t>
            </w:r>
          </w:p>
        </w:tc>
      </w:tr>
      <w:tr w:rsidTr="00C11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>BSBLDR403</w:t>
            </w:r>
          </w:p>
        </w:tc>
        <w:tc>
          <w:tcPr>
            <w:tcW w:w="6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>Lead team effectiveness</w:t>
            </w:r>
          </w:p>
        </w:tc>
      </w:tr>
      <w:tr w:rsidTr="00C11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>BSBLED401</w:t>
            </w:r>
          </w:p>
        </w:tc>
        <w:tc>
          <w:tcPr>
            <w:tcW w:w="6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>Develop teams and individuals</w:t>
            </w:r>
          </w:p>
        </w:tc>
      </w:tr>
      <w:tr w:rsidTr="00C11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>BSBMGT402</w:t>
            </w:r>
          </w:p>
        </w:tc>
        <w:tc>
          <w:tcPr>
            <w:tcW w:w="6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>Implement operational plan</w:t>
            </w:r>
          </w:p>
        </w:tc>
      </w:tr>
      <w:tr w:rsidTr="00C11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 xml:space="preserve">BSBMGT406 </w:t>
            </w:r>
          </w:p>
        </w:tc>
        <w:tc>
          <w:tcPr>
            <w:tcW w:w="6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>Plan and monitor continuous improvement</w:t>
            </w:r>
          </w:p>
        </w:tc>
      </w:tr>
      <w:tr w:rsidTr="00C11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 xml:space="preserve">TAEASS402B </w:t>
            </w:r>
          </w:p>
        </w:tc>
        <w:tc>
          <w:tcPr>
            <w:tcW w:w="6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>Assess competence</w:t>
            </w:r>
          </w:p>
        </w:tc>
      </w:tr>
      <w:tr w:rsidTr="00C11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67">
            <w:pPr>
              <w:pStyle w:val="BodyText"/>
              <w:rPr>
                <w:lang w:val="en-NZ"/>
              </w:rPr>
            </w:pPr>
            <w:r w:rsidRPr="00C11C67">
              <w:t xml:space="preserve">TAEDEL402A </w:t>
            </w:r>
          </w:p>
        </w:tc>
        <w:tc>
          <w:tcPr>
            <w:tcW w:w="6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C67" w:rsidP="00C11C67">
            <w:pPr>
              <w:pStyle w:val="BodyText"/>
            </w:pPr>
            <w:r w:rsidRPr="00C11C67">
              <w:t>Plan, organise and facilitate learning in the workplace</w:t>
            </w:r>
          </w:p>
        </w:tc>
      </w:tr>
    </w:tbl>
    <w:p w:rsidR="00000000" w:rsidRPr="00C11C67" w:rsidP="00C11C67">
      <w:pPr>
        <w:pStyle w:val="BodyText"/>
      </w:pPr>
    </w:p>
    <w:p w:rsidR="00000000" w:rsidRPr="00C11C67" w:rsidP="00C11C67">
      <w:pPr>
        <w:pStyle w:val="AllowPageBreak"/>
      </w:pPr>
    </w:p>
    <w:p w:rsidR="00000000" w:rsidRPr="00C11C67" w:rsidP="00C11C67">
      <w:pPr>
        <w:pStyle w:val="Heading1"/>
      </w:pPr>
      <w:bookmarkStart w:id="4" w:name="O_1281734"/>
      <w:bookmarkEnd w:id="4"/>
      <w:r w:rsidRPr="00C11C67">
        <w:t>Qualification Mapping Information</w:t>
      </w:r>
    </w:p>
    <w:p w:rsidR="00000000" w:rsidRPr="00C11C67" w:rsidP="00523CBE">
      <w:pPr>
        <w:pStyle w:val="BodyText"/>
      </w:pPr>
      <w:r w:rsidRPr="00C11C67">
        <w:t>No equivalent qualification.</w:t>
      </w:r>
    </w:p>
    <w:p w:rsidR="00000000" w:rsidRPr="00C11C67" w:rsidP="00C11C67">
      <w:pPr>
        <w:pStyle w:val="Heading1"/>
      </w:pPr>
      <w:bookmarkStart w:id="5" w:name="O_1281738"/>
      <w:bookmarkEnd w:id="5"/>
      <w:r w:rsidRPr="00C11C67">
        <w:t>Links</w:t>
      </w:r>
    </w:p>
    <w:p w:rsidR="00000000" w:rsidRPr="00C11C67" w:rsidP="00523CBE">
      <w:pPr>
        <w:pStyle w:val="BodyText"/>
      </w:pPr>
      <w:r w:rsidRPr="00C11C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A02E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11C67" w:rsidP="00C11C67"/>
    <w:sectPr w:rsidSect="00C11C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C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C67" w:rsidRPr="00523CBE" w:rsidP="00523C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C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CBE" w:rsidP="00C11C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3CBE" w:rsidP="00C11C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23CBE" w:rsidP="00C11C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C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C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1C67" w:rsidRPr="00523CBE" w:rsidP="00523C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C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CBE" w:rsidRPr="002D2AF8" w:rsidP="00C11C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HLT47515 Certificate IV in Operating Theatre Technical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23CBE" w:rsidP="00C11C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5CB6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DA81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EC8D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C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1C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1C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1C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1C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1C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1C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1C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1C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1C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1C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1C67"/>
  </w:style>
  <w:style w:type="character" w:customStyle="1" w:styleId="Heading1Char">
    <w:name w:val="Heading 1 Char"/>
    <w:basedOn w:val="DefaultParagraphFont"/>
    <w:link w:val="Heading1"/>
    <w:rsid w:val="00C11C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1C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1C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1C6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1C67"/>
    <w:rPr>
      <w:b/>
      <w:spacing w:val="0"/>
    </w:rPr>
  </w:style>
  <w:style w:type="paragraph" w:styleId="ListBullet2">
    <w:name w:val="List Bullet 2"/>
    <w:basedOn w:val="List2"/>
    <w:rsid w:val="00C11C6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11C67"/>
    <w:rPr>
      <w:i/>
    </w:rPr>
  </w:style>
  <w:style w:type="paragraph" w:customStyle="1" w:styleId="SuperHeading">
    <w:name w:val="SuperHeading"/>
    <w:basedOn w:val="Normal"/>
    <w:rsid w:val="00C11C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1C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1C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1C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1C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1C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1C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1C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1C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1C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1C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1C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1C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1C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1C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1C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1C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1C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1C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1C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1C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1C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1C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1C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1C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1C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1C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1C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1C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1C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1C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1C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1C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1C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1C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1C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1C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1C67"/>
  </w:style>
  <w:style w:type="paragraph" w:styleId="TableofFigures">
    <w:name w:val="table of figures"/>
    <w:basedOn w:val="Normal"/>
    <w:next w:val="Normal"/>
    <w:semiHidden/>
    <w:rsid w:val="00C11C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1C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1C67"/>
    <w:rPr>
      <w:rFonts w:ascii="Wingdings" w:hAnsi="Wingdings"/>
    </w:rPr>
  </w:style>
  <w:style w:type="paragraph" w:customStyle="1" w:styleId="TableHeading">
    <w:name w:val="Table Heading"/>
    <w:basedOn w:val="HeadingBase"/>
    <w:rsid w:val="00C11C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1C67"/>
    <w:rPr>
      <w:color w:val="0033CC"/>
      <w:u w:val="none"/>
    </w:rPr>
  </w:style>
  <w:style w:type="paragraph" w:customStyle="1" w:styleId="BodyTextRight">
    <w:name w:val="Body Text Right"/>
    <w:basedOn w:val="BodyText"/>
    <w:rsid w:val="00C11C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1C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1C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1C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1C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1C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1C67"/>
    <w:rPr>
      <w:sz w:val="32"/>
    </w:rPr>
  </w:style>
  <w:style w:type="paragraph" w:customStyle="1" w:styleId="HeadingProcedure">
    <w:name w:val="Heading Procedure"/>
    <w:basedOn w:val="HeadingBase"/>
    <w:next w:val="Normal"/>
    <w:rsid w:val="00C11C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1C67"/>
    <w:pPr>
      <w:spacing w:before="60" w:after="60"/>
    </w:pPr>
  </w:style>
  <w:style w:type="paragraph" w:styleId="ListContinue">
    <w:name w:val="List Continue"/>
    <w:basedOn w:val="List"/>
    <w:rsid w:val="00C11C67"/>
    <w:pPr>
      <w:ind w:firstLine="0"/>
    </w:pPr>
  </w:style>
  <w:style w:type="paragraph" w:customStyle="1" w:styleId="ListNote">
    <w:name w:val="List Note"/>
    <w:basedOn w:val="List"/>
    <w:rsid w:val="00C11C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1C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1C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1C67"/>
    <w:rPr>
      <w:rFonts w:ascii="Courier New" w:hAnsi="Courier New"/>
    </w:rPr>
  </w:style>
  <w:style w:type="paragraph" w:customStyle="1" w:styleId="NoteBullet">
    <w:name w:val="Note Bullet"/>
    <w:basedOn w:val="Note"/>
    <w:rsid w:val="00C11C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1C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1C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1C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1C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1C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1C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1C67"/>
    <w:rPr>
      <w:b/>
      <w:smallCaps/>
    </w:rPr>
  </w:style>
  <w:style w:type="paragraph" w:customStyle="1" w:styleId="TableListNumber">
    <w:name w:val="Table List Number"/>
    <w:basedOn w:val="ListNumber"/>
    <w:rsid w:val="00C11C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1C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1C67"/>
    <w:pPr>
      <w:numPr>
        <w:numId w:val="9"/>
      </w:numPr>
    </w:pPr>
  </w:style>
  <w:style w:type="paragraph" w:customStyle="1" w:styleId="ListAlpha2">
    <w:name w:val="List Alpha 2"/>
    <w:basedOn w:val="List2"/>
    <w:rsid w:val="00C11C67"/>
    <w:pPr>
      <w:numPr>
        <w:numId w:val="8"/>
      </w:numPr>
    </w:pPr>
  </w:style>
  <w:style w:type="paragraph" w:styleId="List2">
    <w:name w:val="List 2"/>
    <w:basedOn w:val="BodyText"/>
    <w:rsid w:val="00C11C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1C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1C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1C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1C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1C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1C67"/>
    <w:pPr>
      <w:numPr>
        <w:numId w:val="4"/>
      </w:numPr>
    </w:pPr>
  </w:style>
  <w:style w:type="paragraph" w:styleId="ListContinue2">
    <w:name w:val="List Continue 2"/>
    <w:basedOn w:val="List2"/>
    <w:rsid w:val="00C11C67"/>
    <w:pPr>
      <w:ind w:firstLine="0"/>
    </w:pPr>
  </w:style>
  <w:style w:type="paragraph" w:styleId="ListContinue3">
    <w:name w:val="List Continue 3"/>
    <w:basedOn w:val="List3"/>
    <w:rsid w:val="00C11C67"/>
    <w:pPr>
      <w:ind w:left="1021" w:firstLine="0"/>
    </w:pPr>
  </w:style>
  <w:style w:type="paragraph" w:styleId="ListContinue4">
    <w:name w:val="List Continue 4"/>
    <w:basedOn w:val="List4"/>
    <w:rsid w:val="00C11C67"/>
    <w:pPr>
      <w:ind w:firstLine="0"/>
    </w:pPr>
  </w:style>
  <w:style w:type="paragraph" w:styleId="ListContinue5">
    <w:name w:val="List Continue 5"/>
    <w:basedOn w:val="List5"/>
    <w:rsid w:val="00C11C67"/>
    <w:pPr>
      <w:ind w:firstLine="0"/>
    </w:pPr>
  </w:style>
  <w:style w:type="paragraph" w:styleId="ListNumber3">
    <w:name w:val="List Number 3"/>
    <w:basedOn w:val="List3"/>
    <w:rsid w:val="00C11C67"/>
    <w:pPr>
      <w:numPr>
        <w:numId w:val="5"/>
      </w:numPr>
    </w:pPr>
  </w:style>
  <w:style w:type="paragraph" w:styleId="ListNumber4">
    <w:name w:val="List Number 4"/>
    <w:basedOn w:val="List4"/>
    <w:rsid w:val="00C11C67"/>
    <w:pPr>
      <w:numPr>
        <w:numId w:val="6"/>
      </w:numPr>
    </w:pPr>
  </w:style>
  <w:style w:type="paragraph" w:styleId="ListNumber5">
    <w:name w:val="List Number 5"/>
    <w:basedOn w:val="List5"/>
    <w:rsid w:val="00C11C67"/>
    <w:pPr>
      <w:numPr>
        <w:numId w:val="7"/>
      </w:numPr>
    </w:pPr>
  </w:style>
  <w:style w:type="paragraph" w:styleId="BlockText">
    <w:name w:val="Block Text"/>
    <w:basedOn w:val="Normal"/>
    <w:rsid w:val="00C11C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1C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1C67"/>
    <w:rPr>
      <w:sz w:val="16"/>
      <w:vertAlign w:val="superscript"/>
    </w:rPr>
  </w:style>
  <w:style w:type="character" w:customStyle="1" w:styleId="Symbols">
    <w:name w:val="Symbols"/>
    <w:basedOn w:val="DefaultParagraphFont"/>
    <w:rsid w:val="00C11C67"/>
    <w:rPr>
      <w:rFonts w:ascii="Symbol" w:hAnsi="Symbol"/>
    </w:rPr>
  </w:style>
  <w:style w:type="character" w:customStyle="1" w:styleId="MenuOptions">
    <w:name w:val="Menu Options"/>
    <w:basedOn w:val="DefaultParagraphFont"/>
    <w:rsid w:val="00C11C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1C67"/>
    <w:rPr>
      <w:b/>
    </w:rPr>
  </w:style>
  <w:style w:type="character" w:customStyle="1" w:styleId="Underlined">
    <w:name w:val="Underlined"/>
    <w:basedOn w:val="DefaultParagraphFont"/>
    <w:rsid w:val="00C11C67"/>
    <w:rPr>
      <w:u w:val="single"/>
    </w:rPr>
  </w:style>
  <w:style w:type="paragraph" w:customStyle="1" w:styleId="TableBodyTextRight">
    <w:name w:val="Table Body Text Right"/>
    <w:basedOn w:val="TableBodyText"/>
    <w:rsid w:val="00C11C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1C67"/>
    <w:rPr>
      <w:sz w:val="18"/>
    </w:rPr>
  </w:style>
  <w:style w:type="paragraph" w:customStyle="1" w:styleId="BodySmallRight">
    <w:name w:val="Body Small Right"/>
    <w:basedOn w:val="BodyTextRight"/>
    <w:rsid w:val="00C11C67"/>
    <w:rPr>
      <w:sz w:val="18"/>
      <w:szCs w:val="18"/>
    </w:rPr>
  </w:style>
  <w:style w:type="paragraph" w:customStyle="1" w:styleId="MarginEdition">
    <w:name w:val="Margin Edition"/>
    <w:basedOn w:val="MarginNote"/>
    <w:rsid w:val="00C11C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1C67"/>
    <w:rPr>
      <w:sz w:val="2"/>
      <w:szCs w:val="2"/>
    </w:rPr>
  </w:style>
  <w:style w:type="character" w:customStyle="1" w:styleId="Small">
    <w:name w:val="Small"/>
    <w:basedOn w:val="DefaultParagraphFont"/>
    <w:rsid w:val="00C11C67"/>
    <w:rPr>
      <w:sz w:val="16"/>
    </w:rPr>
  </w:style>
  <w:style w:type="paragraph" w:customStyle="1" w:styleId="WideTable">
    <w:name w:val="Wide Table"/>
    <w:basedOn w:val="Normal"/>
    <w:rsid w:val="00C11C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1C67"/>
  </w:style>
  <w:style w:type="paragraph" w:styleId="Quote">
    <w:name w:val="Quote"/>
    <w:basedOn w:val="Heading1"/>
    <w:link w:val="QuoteChar"/>
    <w:qFormat/>
    <w:rsid w:val="00C11C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1C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1C67"/>
    <w:pPr>
      <w:pageBreakBefore/>
    </w:pPr>
  </w:style>
  <w:style w:type="paragraph" w:customStyle="1" w:styleId="Border">
    <w:name w:val="Border"/>
    <w:basedOn w:val="Normal"/>
    <w:qFormat/>
    <w:rsid w:val="00C11C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1C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C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C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1C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1C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1C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1C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1C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1C67"/>
    <w:rPr>
      <w:u w:val="single"/>
    </w:rPr>
  </w:style>
  <w:style w:type="character" w:customStyle="1" w:styleId="BoldandItalics">
    <w:name w:val="Bold and Italics"/>
    <w:qFormat/>
    <w:rsid w:val="00C11C67"/>
    <w:rPr>
      <w:b/>
      <w:i/>
      <w:u w:val="none"/>
    </w:rPr>
  </w:style>
  <w:style w:type="paragraph" w:styleId="BalloonText">
    <w:name w:val="Balloon Text"/>
    <w:basedOn w:val="Normal"/>
    <w:link w:val="BalloonTextChar"/>
    <w:rsid w:val="00C11C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1C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1C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1C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1C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1C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1C67"/>
    <w:pPr>
      <w:spacing w:before="0" w:after="0"/>
    </w:pPr>
  </w:style>
  <w:style w:type="paragraph" w:customStyle="1" w:styleId="BodyTextBold">
    <w:name w:val="Body Text Bold"/>
    <w:basedOn w:val="BodyText"/>
    <w:qFormat/>
    <w:rsid w:val="00C11C67"/>
    <w:rPr>
      <w:b/>
    </w:rPr>
  </w:style>
  <w:style w:type="character" w:styleId="Hyperlink">
    <w:name w:val="Hyperlink"/>
    <w:basedOn w:val="DefaultParagraphFont"/>
    <w:uiPriority w:val="99"/>
    <w:unhideWhenUsed/>
    <w:rsid w:val="00523C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416</Words>
  <Characters>2780</Characters>
  <Application>Microsoft Office Word</Application>
  <DocSecurity>0</DocSecurity>
  <Lines>115</Lines>
  <Paragraphs>99</Paragraphs>
  <ScaleCrop>false</ScaleCrop>
  <Company>Author-it Software Corporation Ltd.</Company>
  <LinksUpToDate>false</LinksUpToDate>
  <CharactersWithSpaces>3097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HLT47515 Certificate IV in Operating Theatre Technical Support</dc:title>
  <dc:subject>Approved</dc:subject>
  <dc:creator>SkillsIQ</dc:creator>
  <cp:keywords>Release: 4</cp:keywords>
  <dc:description>Review Date: 12 April 2008</dc:description>
  <cp:lastModifiedBy>HSD_TPCMSd.prod</cp:lastModifiedBy>
  <cp:revision>3</cp:revision>
  <dcterms:created xsi:type="dcterms:W3CDTF">2023-07-02T02:54:00Z</dcterms:created>
  <dcterms:modified xsi:type="dcterms:W3CDTF">2023-07-02T02:54:00Z</dcterms:modified>
</cp:coreProperties>
</file>