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A6A" w:rsidP="00160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FWPWPP3219 Blend and test binding mixes</w:t>
      </w:r>
      <w:r>
        <w:fldChar w:fldCharType="end"/>
      </w:r>
    </w:p>
    <w:p w:rsidR="00160A6A" w:rsidP="00160A6A">
      <w:pPr>
        <w:pStyle w:val="Version"/>
        <w:sectPr w:rsidSect="00CA5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5F2E" w:rsidP="00CA5F2E">
      <w:pPr>
        <w:pStyle w:val="SuperHeading"/>
      </w:pPr>
      <w:r w:rsidRPr="00CA5F2E">
        <w:t>Assessment Requirements for FWPWPP3219 Blend and test binding mixes</w:t>
      </w:r>
    </w:p>
    <w:p w:rsidR="00000000" w:rsidRPr="00CA5F2E" w:rsidP="00CA5F2E">
      <w:pPr>
        <w:pStyle w:val="Heading1"/>
      </w:pPr>
      <w:bookmarkStart w:id="1" w:name="O_1018726"/>
      <w:bookmarkEnd w:id="1"/>
      <w:r w:rsidRPr="00CA5F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5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F2E" w:rsidP="00CA5F2E">
            <w:pPr>
              <w:pStyle w:val="BodyText"/>
            </w:pPr>
            <w:r w:rsidRPr="00CA5F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F2E">
            <w:pPr>
              <w:pStyle w:val="BodyText"/>
              <w:rPr>
                <w:lang w:val="en-NZ"/>
              </w:rPr>
            </w:pPr>
            <w:r w:rsidRPr="00CA5F2E">
              <w:rPr>
                <w:rStyle w:val="SpecialBold"/>
              </w:rPr>
              <w:t>Comments</w:t>
            </w:r>
          </w:p>
        </w:tc>
      </w:tr>
      <w:tr w:rsidTr="00CA5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F2E">
            <w:pPr>
              <w:pStyle w:val="BodyText"/>
              <w:rPr>
                <w:lang w:val="en-NZ"/>
              </w:rPr>
            </w:pPr>
            <w:r w:rsidRPr="00CA5F2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F2E">
            <w:pPr>
              <w:pStyle w:val="BodyText"/>
              <w:rPr>
                <w:lang w:val="en-NZ"/>
              </w:rPr>
            </w:pPr>
            <w:r w:rsidRPr="00CA5F2E">
              <w:t>This version released with FWP Forest and Wood Products Training Package Version 4.0.</w:t>
            </w:r>
          </w:p>
        </w:tc>
      </w:tr>
      <w:tr w:rsidTr="00CA5F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F2E">
            <w:pPr>
              <w:pStyle w:val="BodyText"/>
              <w:rPr>
                <w:lang w:val="en-NZ"/>
              </w:rPr>
            </w:pPr>
            <w:r w:rsidRPr="00CA5F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F2E" w:rsidP="00CA5F2E">
            <w:pPr>
              <w:pStyle w:val="BodyText"/>
            </w:pPr>
            <w:r w:rsidRPr="00CA5F2E">
              <w:t>This version replaces equivalent unit FPIWPP3219B Blend and test binding mixes, which was first released with FPI11 Forest and Forest Products Training Package Version 2.2.</w:t>
            </w:r>
          </w:p>
        </w:tc>
      </w:tr>
    </w:tbl>
    <w:p w:rsidR="00000000" w:rsidRPr="00CA5F2E" w:rsidP="00CA5F2E">
      <w:pPr>
        <w:pStyle w:val="BodyText"/>
      </w:pPr>
    </w:p>
    <w:p w:rsidR="00000000" w:rsidRPr="00CA5F2E" w:rsidP="00CA5F2E">
      <w:pPr>
        <w:pStyle w:val="AllowPageBreak"/>
      </w:pPr>
    </w:p>
    <w:p w:rsidR="00000000" w:rsidRPr="00CA5F2E" w:rsidP="00CA5F2E">
      <w:pPr>
        <w:pStyle w:val="Heading1"/>
      </w:pPr>
      <w:bookmarkStart w:id="2" w:name="O_1018725"/>
      <w:bookmarkEnd w:id="2"/>
      <w:r w:rsidRPr="00CA5F2E">
        <w:t>Performance Evidence</w:t>
      </w:r>
    </w:p>
    <w:p w:rsidR="00000000" w:rsidRPr="00CA5F2E" w:rsidP="00160A6A">
      <w:pPr>
        <w:pStyle w:val="BodyText"/>
      </w:pPr>
      <w:r w:rsidRPr="00CA5F2E">
        <w:t>An individual demonstrating competency in</w:t>
      </w:r>
      <w:r w:rsidRPr="00CA5F2E">
        <w:t xml:space="preserve"> this unit must satisfy all of the elements and performance criteria of this unit. There must be evidence that, on at least one occasion, the individual has:</w:t>
      </w:r>
    </w:p>
    <w:p w:rsidR="00000000" w:rsidRPr="00CA5F2E" w:rsidP="00CA5F2E">
      <w:pPr>
        <w:pStyle w:val="ListBullet"/>
      </w:pPr>
      <w:r w:rsidRPr="00CA5F2E">
        <w:t>followed workplace health and safety requirements and environmental protection procedures for ble</w:t>
      </w:r>
      <w:r w:rsidRPr="00CA5F2E">
        <w:t>nding binding mix used in the production of engineered wood panels</w:t>
      </w:r>
    </w:p>
    <w:p w:rsidR="00000000" w:rsidRPr="00CA5F2E" w:rsidP="00CA5F2E">
      <w:pPr>
        <w:pStyle w:val="ListBullet"/>
      </w:pPr>
      <w:r w:rsidRPr="00CA5F2E">
        <w:t>prepared binding mixes for one or more of the following types of materials according to individual work orders that prescribe varying quantities of ingredients:</w:t>
      </w:r>
    </w:p>
    <w:p w:rsidR="00000000" w:rsidRPr="00CA5F2E" w:rsidP="00CA5F2E">
      <w:pPr>
        <w:pStyle w:val="ListBullet2"/>
      </w:pPr>
      <w:r w:rsidRPr="00CA5F2E">
        <w:t>chips</w:t>
      </w:r>
    </w:p>
    <w:p w:rsidR="00000000" w:rsidRPr="00CA5F2E" w:rsidP="00CA5F2E">
      <w:pPr>
        <w:pStyle w:val="ListBullet2"/>
      </w:pPr>
      <w:r w:rsidRPr="00CA5F2E">
        <w:t>flakes</w:t>
      </w:r>
    </w:p>
    <w:p w:rsidR="00000000" w:rsidRPr="00CA5F2E" w:rsidP="00CA5F2E">
      <w:pPr>
        <w:pStyle w:val="ListBullet2"/>
      </w:pPr>
      <w:r w:rsidRPr="00CA5F2E">
        <w:t>fibre</w:t>
      </w:r>
    </w:p>
    <w:p w:rsidR="00000000" w:rsidRPr="00CA5F2E" w:rsidP="00CA5F2E">
      <w:pPr>
        <w:pStyle w:val="ListBullet"/>
      </w:pPr>
      <w:r w:rsidRPr="00CA5F2E">
        <w:t>demonstrated use of water- and resin-based glues</w:t>
      </w:r>
    </w:p>
    <w:p w:rsidR="00000000" w:rsidRPr="00CA5F2E" w:rsidP="00CA5F2E">
      <w:pPr>
        <w:pStyle w:val="ListBullet"/>
      </w:pPr>
      <w:r w:rsidRPr="00CA5F2E">
        <w:t>taken samples and test mix for types of properties that include:</w:t>
      </w:r>
    </w:p>
    <w:p w:rsidR="00000000" w:rsidRPr="00CA5F2E" w:rsidP="00CA5F2E">
      <w:pPr>
        <w:pStyle w:val="ListBullet2"/>
      </w:pPr>
      <w:r w:rsidRPr="00CA5F2E">
        <w:t>mix quantities</w:t>
      </w:r>
    </w:p>
    <w:p w:rsidR="00000000" w:rsidRPr="00CA5F2E" w:rsidP="00CA5F2E">
      <w:pPr>
        <w:pStyle w:val="ListBullet2"/>
      </w:pPr>
      <w:r w:rsidRPr="00CA5F2E">
        <w:t>viscosity</w:t>
      </w:r>
    </w:p>
    <w:p w:rsidR="00000000" w:rsidRPr="00CA5F2E" w:rsidP="00CA5F2E">
      <w:pPr>
        <w:pStyle w:val="ListBullet2"/>
      </w:pPr>
      <w:r w:rsidRPr="00CA5F2E">
        <w:t>colour</w:t>
      </w:r>
    </w:p>
    <w:p w:rsidR="00000000" w:rsidRPr="00CA5F2E" w:rsidP="00CA5F2E">
      <w:pPr>
        <w:pStyle w:val="ListBullet2"/>
      </w:pPr>
      <w:r w:rsidRPr="00CA5F2E">
        <w:t>spread</w:t>
      </w:r>
    </w:p>
    <w:p w:rsidR="00000000" w:rsidRPr="00CA5F2E" w:rsidP="00CA5F2E">
      <w:pPr>
        <w:pStyle w:val="ListBullet2"/>
      </w:pPr>
      <w:r w:rsidRPr="00CA5F2E">
        <w:t>tack</w:t>
      </w:r>
    </w:p>
    <w:p w:rsidR="00000000" w:rsidRPr="00CA5F2E" w:rsidP="00CA5F2E">
      <w:pPr>
        <w:pStyle w:val="ListBullet2"/>
      </w:pPr>
      <w:r w:rsidRPr="00CA5F2E">
        <w:t>cured bond strength</w:t>
      </w:r>
    </w:p>
    <w:p w:rsidR="00000000" w:rsidRPr="00CA5F2E" w:rsidP="00CA5F2E">
      <w:pPr>
        <w:pStyle w:val="ListBullet2"/>
      </w:pPr>
      <w:r w:rsidRPr="00CA5F2E">
        <w:t>setting speed</w:t>
      </w:r>
    </w:p>
    <w:p w:rsidR="00000000" w:rsidRPr="00CA5F2E" w:rsidP="00CA5F2E">
      <w:pPr>
        <w:pStyle w:val="ListBullet2"/>
      </w:pPr>
      <w:r w:rsidRPr="00CA5F2E">
        <w:t>how weather conditions may be affecting the process.</w:t>
      </w:r>
    </w:p>
    <w:p w:rsidR="00000000" w:rsidRPr="00CA5F2E" w:rsidP="00CA5F2E">
      <w:pPr>
        <w:pStyle w:val="AllowPageBreak"/>
      </w:pPr>
    </w:p>
    <w:p w:rsidR="00000000" w:rsidRPr="00CA5F2E" w:rsidP="00CA5F2E">
      <w:pPr>
        <w:pStyle w:val="Heading1"/>
      </w:pPr>
      <w:bookmarkStart w:id="3" w:name="O_1018724"/>
      <w:bookmarkEnd w:id="3"/>
      <w:r w:rsidRPr="00CA5F2E">
        <w:t>Knowledge Evidence</w:t>
      </w:r>
    </w:p>
    <w:p w:rsidR="00000000" w:rsidRPr="00CA5F2E" w:rsidP="00160A6A">
      <w:pPr>
        <w:pStyle w:val="BodyText"/>
      </w:pPr>
      <w:r w:rsidRPr="00CA5F2E">
        <w:t>An individual must be able to demonstrate the knowledge required to perform the tasks outlined in the elements and performance criteria of this unit. This includes knowledge of:</w:t>
      </w:r>
    </w:p>
    <w:p w:rsidR="00000000" w:rsidRPr="00CA5F2E" w:rsidP="00CA5F2E">
      <w:pPr>
        <w:pStyle w:val="ListBullet"/>
      </w:pPr>
      <w:r w:rsidRPr="00CA5F2E">
        <w:t>health and safety hazards or risks related to ble</w:t>
      </w:r>
      <w:r w:rsidRPr="00CA5F2E">
        <w:t>nding binding mix for the production of engineered wood products as identified through risk assessments, manufacturer technical information, regulations and industry health and safety guides</w:t>
      </w:r>
    </w:p>
    <w:p w:rsidR="00000000" w:rsidRPr="00CA5F2E" w:rsidP="00CA5F2E">
      <w:pPr>
        <w:pStyle w:val="ListBullet"/>
      </w:pPr>
      <w:r w:rsidRPr="00CA5F2E">
        <w:t>workplace procedures specific to blending and testing mixes:</w:t>
      </w:r>
    </w:p>
    <w:p w:rsidR="00000000" w:rsidRPr="00CA5F2E" w:rsidP="00CA5F2E">
      <w:pPr>
        <w:pStyle w:val="ListBullet2"/>
      </w:pPr>
      <w:r w:rsidRPr="00CA5F2E">
        <w:t>hea</w:t>
      </w:r>
      <w:r w:rsidRPr="00CA5F2E">
        <w:t>lth and safety, with particular emphasis on equipment lockout, emergency procedures, use of personal protective equipment (PPE) and handling hazardous substances according to safety data sheets</w:t>
      </w:r>
    </w:p>
    <w:p w:rsidR="00000000" w:rsidRPr="00CA5F2E" w:rsidP="00CA5F2E">
      <w:pPr>
        <w:pStyle w:val="ListBullet2"/>
      </w:pPr>
      <w:r w:rsidRPr="00CA5F2E">
        <w:t>use of equipment for blending binding mix</w:t>
      </w:r>
    </w:p>
    <w:p w:rsidR="00000000" w:rsidRPr="00CA5F2E" w:rsidP="00CA5F2E">
      <w:pPr>
        <w:pStyle w:val="ListBullet2"/>
      </w:pPr>
      <w:r w:rsidRPr="00CA5F2E">
        <w:t>communication report</w:t>
      </w:r>
      <w:r w:rsidRPr="00CA5F2E">
        <w:t>ing lines</w:t>
      </w:r>
    </w:p>
    <w:p w:rsidR="00000000" w:rsidRPr="00CA5F2E" w:rsidP="00CA5F2E">
      <w:pPr>
        <w:pStyle w:val="ListBullet2"/>
      </w:pPr>
      <w:r w:rsidRPr="00CA5F2E">
        <w:t>recording and reporting production outcomes and equipment faults</w:t>
      </w:r>
    </w:p>
    <w:p w:rsidR="00000000" w:rsidRPr="00CA5F2E" w:rsidP="00CA5F2E">
      <w:pPr>
        <w:pStyle w:val="ListBullet"/>
      </w:pPr>
      <w:r w:rsidRPr="00CA5F2E">
        <w:t>environmental protection practices for blending and testing binding mixes:</w:t>
      </w:r>
    </w:p>
    <w:p w:rsidR="00000000" w:rsidRPr="00CA5F2E" w:rsidP="00CA5F2E">
      <w:pPr>
        <w:pStyle w:val="ListBullet2"/>
      </w:pPr>
      <w:r w:rsidRPr="00CA5F2E">
        <w:t>reducing water and energy use</w:t>
      </w:r>
    </w:p>
    <w:p w:rsidR="00000000" w:rsidRPr="00CA5F2E" w:rsidP="00CA5F2E">
      <w:pPr>
        <w:pStyle w:val="ListBullet2"/>
      </w:pPr>
      <w:r w:rsidRPr="00CA5F2E">
        <w:t>cleaning plant, tools and equipment</w:t>
      </w:r>
    </w:p>
    <w:p w:rsidR="00000000" w:rsidRPr="00CA5F2E" w:rsidP="00CA5F2E">
      <w:pPr>
        <w:pStyle w:val="ListBullet2"/>
      </w:pPr>
      <w:r w:rsidRPr="00CA5F2E">
        <w:t>disposing of hazardous substances</w:t>
      </w:r>
    </w:p>
    <w:p w:rsidR="00000000" w:rsidRPr="00CA5F2E" w:rsidP="00CA5F2E">
      <w:pPr>
        <w:pStyle w:val="ListBullet"/>
      </w:pPr>
      <w:r w:rsidRPr="00CA5F2E">
        <w:t>sto</w:t>
      </w:r>
      <w:r w:rsidRPr="00CA5F2E">
        <w:t>rage layout and categories for:</w:t>
      </w:r>
    </w:p>
    <w:p w:rsidR="00000000" w:rsidRPr="00CA5F2E" w:rsidP="00CA5F2E">
      <w:pPr>
        <w:pStyle w:val="ListBullet2"/>
      </w:pPr>
      <w:r w:rsidRPr="00CA5F2E">
        <w:t>raw materials</w:t>
      </w:r>
    </w:p>
    <w:p w:rsidR="00000000" w:rsidRPr="00CA5F2E" w:rsidP="00CA5F2E">
      <w:pPr>
        <w:pStyle w:val="ListBullet2"/>
      </w:pPr>
      <w:r w:rsidRPr="00CA5F2E">
        <w:t>finished mixes</w:t>
      </w:r>
    </w:p>
    <w:p w:rsidR="00000000" w:rsidRPr="00CA5F2E" w:rsidP="00CA5F2E">
      <w:pPr>
        <w:pStyle w:val="ListBullet"/>
      </w:pPr>
      <w:r w:rsidRPr="00CA5F2E">
        <w:t>typical flow of material supply in and out of the mixing area</w:t>
      </w:r>
    </w:p>
    <w:p w:rsidR="00000000" w:rsidRPr="00CA5F2E" w:rsidP="00CA5F2E">
      <w:pPr>
        <w:pStyle w:val="ListBullet"/>
      </w:pPr>
      <w:r w:rsidRPr="00CA5F2E">
        <w:t>typical workflow processes for blending and testing binding mixes</w:t>
      </w:r>
    </w:p>
    <w:p w:rsidR="00000000" w:rsidRPr="00CA5F2E" w:rsidP="00CA5F2E">
      <w:pPr>
        <w:pStyle w:val="ListBullet"/>
      </w:pPr>
      <w:r w:rsidRPr="00CA5F2E">
        <w:t>properties, at a basic level of understanding, of ingredients and their uses:</w:t>
      </w:r>
    </w:p>
    <w:p w:rsidR="00000000" w:rsidRPr="00CA5F2E" w:rsidP="00CA5F2E">
      <w:pPr>
        <w:pStyle w:val="ListBullet2"/>
      </w:pPr>
      <w:r w:rsidRPr="00CA5F2E">
        <w:t>rubber-based adhesives</w:t>
      </w:r>
    </w:p>
    <w:p w:rsidR="00000000" w:rsidRPr="00CA5F2E" w:rsidP="00CA5F2E">
      <w:pPr>
        <w:pStyle w:val="ListBullet2"/>
      </w:pPr>
      <w:r w:rsidRPr="00CA5F2E">
        <w:t>polyvinyl acetate</w:t>
      </w:r>
    </w:p>
    <w:p w:rsidR="00000000" w:rsidRPr="00CA5F2E" w:rsidP="00CA5F2E">
      <w:pPr>
        <w:pStyle w:val="ListBullet2"/>
      </w:pPr>
      <w:r w:rsidRPr="00CA5F2E">
        <w:t>epoxy resins and formaldehydes</w:t>
      </w:r>
    </w:p>
    <w:p w:rsidR="00000000" w:rsidRPr="00CA5F2E" w:rsidP="00CA5F2E">
      <w:pPr>
        <w:pStyle w:val="ListBullet2"/>
      </w:pPr>
      <w:r w:rsidRPr="00CA5F2E">
        <w:t>chips</w:t>
      </w:r>
    </w:p>
    <w:p w:rsidR="00000000" w:rsidRPr="00CA5F2E" w:rsidP="00CA5F2E">
      <w:pPr>
        <w:pStyle w:val="ListBullet2"/>
      </w:pPr>
      <w:r w:rsidRPr="00CA5F2E">
        <w:t>flakes or fibre</w:t>
      </w:r>
    </w:p>
    <w:p w:rsidR="00000000" w:rsidRPr="00CA5F2E" w:rsidP="00CA5F2E">
      <w:pPr>
        <w:pStyle w:val="ListBullet2"/>
      </w:pPr>
      <w:r w:rsidRPr="00CA5F2E">
        <w:t>hardeners</w:t>
      </w:r>
    </w:p>
    <w:p w:rsidR="00000000" w:rsidRPr="00CA5F2E" w:rsidP="00CA5F2E">
      <w:pPr>
        <w:pStyle w:val="ListBullet2"/>
      </w:pPr>
      <w:r w:rsidRPr="00CA5F2E">
        <w:t>softeners</w:t>
      </w:r>
    </w:p>
    <w:p w:rsidR="00000000" w:rsidRPr="00CA5F2E" w:rsidP="00CA5F2E">
      <w:pPr>
        <w:pStyle w:val="ListBullet2"/>
      </w:pPr>
      <w:r w:rsidRPr="00CA5F2E">
        <w:t>accelerants</w:t>
      </w:r>
    </w:p>
    <w:p w:rsidR="00000000" w:rsidRPr="00CA5F2E" w:rsidP="00CA5F2E">
      <w:pPr>
        <w:pStyle w:val="ListBullet2"/>
      </w:pPr>
      <w:r w:rsidRPr="00CA5F2E">
        <w:t>decelerators</w:t>
      </w:r>
    </w:p>
    <w:p w:rsidR="00000000" w:rsidRPr="00CA5F2E" w:rsidP="00CA5F2E">
      <w:pPr>
        <w:pStyle w:val="ListBullet2"/>
      </w:pPr>
      <w:r w:rsidRPr="00CA5F2E">
        <w:t>dyes</w:t>
      </w:r>
    </w:p>
    <w:p w:rsidR="00000000" w:rsidRPr="00CA5F2E" w:rsidP="00CA5F2E">
      <w:pPr>
        <w:pStyle w:val="ListBullet"/>
      </w:pPr>
      <w:r w:rsidRPr="00CA5F2E">
        <w:t>effects of weather conditions on</w:t>
      </w:r>
      <w:r w:rsidRPr="00CA5F2E">
        <w:t xml:space="preserve"> blending processes</w:t>
      </w:r>
    </w:p>
    <w:p w:rsidR="00000000" w:rsidRPr="00CA5F2E" w:rsidP="00CA5F2E">
      <w:pPr>
        <w:pStyle w:val="ListBullet"/>
      </w:pPr>
      <w:r w:rsidRPr="00CA5F2E">
        <w:t>methods used to:</w:t>
      </w:r>
    </w:p>
    <w:p w:rsidR="00000000" w:rsidRPr="00CA5F2E" w:rsidP="00CA5F2E">
      <w:pPr>
        <w:pStyle w:val="ListBullet2"/>
      </w:pPr>
      <w:r w:rsidRPr="00CA5F2E">
        <w:t>blend binding mix</w:t>
      </w:r>
    </w:p>
    <w:p w:rsidR="00000000" w:rsidRPr="00CA5F2E" w:rsidP="00CA5F2E">
      <w:pPr>
        <w:pStyle w:val="ListBullet2"/>
      </w:pPr>
      <w:r w:rsidRPr="00CA5F2E">
        <w:t>test samples of the mix</w:t>
      </w:r>
    </w:p>
    <w:p w:rsidR="00000000" w:rsidRPr="00CA5F2E" w:rsidP="00CA5F2E">
      <w:pPr>
        <w:pStyle w:val="ListBullet2"/>
      </w:pPr>
      <w:r w:rsidRPr="00CA5F2E">
        <w:t>safely store glue and additives</w:t>
      </w:r>
    </w:p>
    <w:p w:rsidR="00000000" w:rsidRPr="00CA5F2E" w:rsidP="00CA5F2E">
      <w:pPr>
        <w:pStyle w:val="ListBullet"/>
      </w:pPr>
      <w:r w:rsidRPr="00CA5F2E">
        <w:t>purpose, features, operation and basic non-specialist maintenance of mixing systems used to blend binding mix:</w:t>
      </w:r>
    </w:p>
    <w:p w:rsidR="00000000" w:rsidRPr="00CA5F2E" w:rsidP="00CA5F2E">
      <w:pPr>
        <w:pStyle w:val="ListBullet2"/>
      </w:pPr>
      <w:r w:rsidRPr="00CA5F2E">
        <w:t>mixers with manually controlled feed</w:t>
      </w:r>
    </w:p>
    <w:p w:rsidR="00000000" w:rsidRPr="00CA5F2E" w:rsidP="00CA5F2E">
      <w:pPr>
        <w:pStyle w:val="ListBullet2"/>
      </w:pPr>
      <w:r w:rsidRPr="00CA5F2E">
        <w:t>mixers with pre-programmed mix quantities.</w:t>
      </w:r>
    </w:p>
    <w:p w:rsidR="00000000" w:rsidRPr="00CA5F2E" w:rsidP="00CA5F2E">
      <w:pPr>
        <w:pStyle w:val="AllowPageBreak"/>
      </w:pPr>
    </w:p>
    <w:p w:rsidR="00000000" w:rsidRPr="00CA5F2E" w:rsidP="00CA5F2E">
      <w:pPr>
        <w:pStyle w:val="Heading1"/>
      </w:pPr>
      <w:bookmarkStart w:id="4" w:name="O_1018723"/>
      <w:bookmarkEnd w:id="4"/>
      <w:r w:rsidRPr="00CA5F2E">
        <w:t>Assessment Conditions</w:t>
      </w:r>
    </w:p>
    <w:p w:rsidR="00000000" w:rsidRPr="00CA5F2E" w:rsidP="00160A6A">
      <w:pPr>
        <w:pStyle w:val="BodyText"/>
      </w:pPr>
      <w:r w:rsidRPr="00CA5F2E">
        <w:t>Assessment of skills must take place under the following conditions:</w:t>
      </w:r>
    </w:p>
    <w:p w:rsidR="00000000" w:rsidRPr="00CA5F2E" w:rsidP="00CA5F2E">
      <w:pPr>
        <w:pStyle w:val="ListBullet"/>
      </w:pPr>
      <w:r w:rsidRPr="00CA5F2E">
        <w:t>physical conditions:</w:t>
      </w:r>
    </w:p>
    <w:p w:rsidR="00000000" w:rsidRPr="00CA5F2E" w:rsidP="00CA5F2E">
      <w:pPr>
        <w:pStyle w:val="ListBullet2"/>
      </w:pPr>
      <w:r w:rsidRPr="00CA5F2E">
        <w:t>skills must be demonstrated in an environme</w:t>
      </w:r>
      <w:r w:rsidRPr="00CA5F2E">
        <w:t>nt that accurately represents workplace conditions</w:t>
      </w:r>
    </w:p>
    <w:p w:rsidR="00000000" w:rsidRPr="00CA5F2E" w:rsidP="00CA5F2E">
      <w:pPr>
        <w:pStyle w:val="ListBullet"/>
      </w:pPr>
      <w:r w:rsidRPr="00CA5F2E">
        <w:t>resources, equipment and materials:</w:t>
      </w:r>
    </w:p>
    <w:p w:rsidR="00000000" w:rsidRPr="00CA5F2E" w:rsidP="00CA5F2E">
      <w:pPr>
        <w:pStyle w:val="ListBullet2"/>
      </w:pPr>
      <w:r w:rsidRPr="00CA5F2E">
        <w:t xml:space="preserve">blending system with transfer pumps </w:t>
      </w:r>
    </w:p>
    <w:p w:rsidR="00000000" w:rsidRPr="00CA5F2E" w:rsidP="00CA5F2E">
      <w:pPr>
        <w:pStyle w:val="ListBullet2"/>
      </w:pPr>
      <w:r w:rsidRPr="00CA5F2E">
        <w:t>personal protective equipment suitable for blending and testing mixes</w:t>
      </w:r>
    </w:p>
    <w:p w:rsidR="00000000" w:rsidRPr="00CA5F2E" w:rsidP="00CA5F2E">
      <w:pPr>
        <w:pStyle w:val="ListBullet2"/>
      </w:pPr>
      <w:r w:rsidRPr="00CA5F2E">
        <w:t>ingredients for binding mix including chips, flakes or fibre</w:t>
      </w:r>
    </w:p>
    <w:p w:rsidR="00000000" w:rsidRPr="00CA5F2E" w:rsidP="00CA5F2E">
      <w:pPr>
        <w:pStyle w:val="ListBullet"/>
      </w:pPr>
      <w:r w:rsidRPr="00CA5F2E">
        <w:t>specifications:</w:t>
      </w:r>
    </w:p>
    <w:p w:rsidR="00000000" w:rsidRPr="00CA5F2E" w:rsidP="00CA5F2E">
      <w:pPr>
        <w:pStyle w:val="ListBullet2"/>
      </w:pPr>
      <w:r w:rsidRPr="00CA5F2E">
        <w:t>recipes for mixing ingredients</w:t>
      </w:r>
    </w:p>
    <w:p w:rsidR="00000000" w:rsidRPr="00CA5F2E" w:rsidP="00CA5F2E">
      <w:pPr>
        <w:pStyle w:val="ListBullet2"/>
      </w:pPr>
      <w:r w:rsidRPr="00CA5F2E">
        <w:t>manufacturer safety data sheets, instructions for equipment use and recommendations for maintaining equipment</w:t>
      </w:r>
    </w:p>
    <w:p w:rsidR="00000000" w:rsidRPr="00CA5F2E" w:rsidP="00CA5F2E">
      <w:pPr>
        <w:pStyle w:val="ListBullet2"/>
      </w:pPr>
      <w:r w:rsidRPr="00CA5F2E">
        <w:t>work order with specific instructions for blending binding mixes</w:t>
      </w:r>
    </w:p>
    <w:p w:rsidR="00000000" w:rsidRPr="00CA5F2E" w:rsidP="00CA5F2E">
      <w:pPr>
        <w:pStyle w:val="ListBullet2"/>
      </w:pPr>
      <w:r w:rsidRPr="00CA5F2E">
        <w:t>template documents for recordin</w:t>
      </w:r>
      <w:r w:rsidRPr="00CA5F2E">
        <w:t>g production outcomes and equipment faults</w:t>
      </w:r>
    </w:p>
    <w:p w:rsidR="00000000" w:rsidRPr="00CA5F2E" w:rsidP="00CA5F2E">
      <w:pPr>
        <w:pStyle w:val="ListBullet2"/>
      </w:pPr>
      <w:r w:rsidRPr="00CA5F2E">
        <w:t>workplace procedures for blending and testing mixes, including health and safety and emergency procedures and environmental protection procedures.</w:t>
      </w:r>
    </w:p>
    <w:p w:rsidR="00000000" w:rsidRPr="00CA5F2E" w:rsidP="00160A6A">
      <w:pPr>
        <w:pStyle w:val="BodyText"/>
      </w:pPr>
      <w:r w:rsidRPr="00CA5F2E">
        <w:t>Assessors of this unit must satisfy the requirements for assessors</w:t>
      </w:r>
      <w:r w:rsidRPr="00CA5F2E">
        <w:t xml:space="preserve"> in applicable vocational education and training legislation, frameworks and/or standards.</w:t>
      </w:r>
    </w:p>
    <w:p w:rsidR="00000000" w:rsidRPr="00CA5F2E" w:rsidP="00CA5F2E">
      <w:pPr>
        <w:pStyle w:val="Heading1"/>
      </w:pPr>
      <w:bookmarkStart w:id="5" w:name="O_1018737"/>
      <w:bookmarkEnd w:id="5"/>
      <w:r w:rsidRPr="00CA5F2E">
        <w:t>Links</w:t>
      </w:r>
    </w:p>
    <w:p w:rsidR="00000000" w:rsidRPr="00CA5F2E" w:rsidP="00160A6A">
      <w:pPr>
        <w:pStyle w:val="BodyText"/>
      </w:pPr>
      <w:r w:rsidRPr="00CA5F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2A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5F2E" w:rsidP="00CA5F2E"/>
    <w:sectPr w:rsidSect="00CA5F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2E" w:rsidRPr="00160A6A" w:rsidP="00160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6A" w:rsidP="00CA5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A6A" w:rsidP="00CA5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0A6A" w:rsidP="00CA5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F2E" w:rsidRPr="00160A6A" w:rsidP="00160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6A" w:rsidRPr="002D2AF8" w:rsidP="00CA5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FWPWPP3219 Blend and test binding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60A6A" w:rsidP="00CA5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0F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60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6EC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F2E"/>
  </w:style>
  <w:style w:type="character" w:customStyle="1" w:styleId="Heading1Char">
    <w:name w:val="Heading 1 Char"/>
    <w:basedOn w:val="DefaultParagraphFont"/>
    <w:link w:val="Heading1"/>
    <w:rsid w:val="00CA5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F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F2E"/>
    <w:rPr>
      <w:b/>
      <w:spacing w:val="0"/>
    </w:rPr>
  </w:style>
  <w:style w:type="paragraph" w:styleId="ListBullet2">
    <w:name w:val="List Bullet 2"/>
    <w:basedOn w:val="List2"/>
    <w:rsid w:val="00CA5F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F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F2E"/>
    <w:rPr>
      <w:i/>
    </w:rPr>
  </w:style>
  <w:style w:type="paragraph" w:styleId="Caption">
    <w:name w:val="caption"/>
    <w:basedOn w:val="BodyText"/>
    <w:next w:val="Normal"/>
    <w:qFormat/>
    <w:rsid w:val="00CA5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F2E"/>
  </w:style>
  <w:style w:type="paragraph" w:styleId="TableofFigures">
    <w:name w:val="table of figures"/>
    <w:basedOn w:val="Normal"/>
    <w:next w:val="Normal"/>
    <w:semiHidden/>
    <w:rsid w:val="00CA5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F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F2E"/>
    <w:rPr>
      <w:rFonts w:ascii="Wingdings" w:hAnsi="Wingdings"/>
    </w:rPr>
  </w:style>
  <w:style w:type="paragraph" w:customStyle="1" w:styleId="TableHeading">
    <w:name w:val="Table Heading"/>
    <w:basedOn w:val="HeadingBase"/>
    <w:rsid w:val="00CA5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F2E"/>
    <w:rPr>
      <w:color w:val="0033CC"/>
      <w:u w:val="none"/>
    </w:rPr>
  </w:style>
  <w:style w:type="paragraph" w:customStyle="1" w:styleId="BodyTextRight">
    <w:name w:val="Body Text Right"/>
    <w:basedOn w:val="BodyText"/>
    <w:rsid w:val="00CA5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F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F2E"/>
    <w:rPr>
      <w:sz w:val="32"/>
    </w:rPr>
  </w:style>
  <w:style w:type="paragraph" w:customStyle="1" w:styleId="HeadingProcedure">
    <w:name w:val="Heading Procedure"/>
    <w:basedOn w:val="HeadingBase"/>
    <w:next w:val="Normal"/>
    <w:rsid w:val="00CA5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F2E"/>
    <w:pPr>
      <w:spacing w:before="60" w:after="60"/>
    </w:pPr>
  </w:style>
  <w:style w:type="paragraph" w:styleId="ListContinue">
    <w:name w:val="List Continue"/>
    <w:basedOn w:val="List"/>
    <w:rsid w:val="00CA5F2E"/>
    <w:pPr>
      <w:ind w:firstLine="0"/>
    </w:pPr>
  </w:style>
  <w:style w:type="paragraph" w:customStyle="1" w:styleId="ListNote">
    <w:name w:val="List Note"/>
    <w:basedOn w:val="List"/>
    <w:rsid w:val="00CA5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F2E"/>
    <w:rPr>
      <w:rFonts w:ascii="Courier New" w:hAnsi="Courier New"/>
    </w:rPr>
  </w:style>
  <w:style w:type="paragraph" w:customStyle="1" w:styleId="NoteBullet">
    <w:name w:val="Note Bullet"/>
    <w:basedOn w:val="Note"/>
    <w:rsid w:val="00CA5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F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F2E"/>
    <w:rPr>
      <w:b/>
      <w:smallCaps/>
    </w:rPr>
  </w:style>
  <w:style w:type="paragraph" w:customStyle="1" w:styleId="TableListNumber">
    <w:name w:val="Table List Number"/>
    <w:basedOn w:val="ListNumber"/>
    <w:rsid w:val="00CA5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F2E"/>
    <w:pPr>
      <w:numPr>
        <w:numId w:val="9"/>
      </w:numPr>
    </w:pPr>
  </w:style>
  <w:style w:type="paragraph" w:customStyle="1" w:styleId="ListAlpha2">
    <w:name w:val="List Alpha 2"/>
    <w:basedOn w:val="List2"/>
    <w:rsid w:val="00CA5F2E"/>
    <w:pPr>
      <w:numPr>
        <w:numId w:val="8"/>
      </w:numPr>
    </w:pPr>
  </w:style>
  <w:style w:type="paragraph" w:styleId="List2">
    <w:name w:val="List 2"/>
    <w:basedOn w:val="BodyText"/>
    <w:rsid w:val="00CA5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F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F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F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F2E"/>
    <w:pPr>
      <w:numPr>
        <w:numId w:val="4"/>
      </w:numPr>
    </w:pPr>
  </w:style>
  <w:style w:type="paragraph" w:styleId="ListContinue2">
    <w:name w:val="List Continue 2"/>
    <w:basedOn w:val="List2"/>
    <w:rsid w:val="00CA5F2E"/>
    <w:pPr>
      <w:ind w:firstLine="0"/>
    </w:pPr>
  </w:style>
  <w:style w:type="paragraph" w:styleId="ListContinue3">
    <w:name w:val="List Continue 3"/>
    <w:basedOn w:val="List3"/>
    <w:rsid w:val="00CA5F2E"/>
    <w:pPr>
      <w:ind w:left="1021" w:firstLine="0"/>
    </w:pPr>
  </w:style>
  <w:style w:type="paragraph" w:styleId="ListContinue4">
    <w:name w:val="List Continue 4"/>
    <w:basedOn w:val="List4"/>
    <w:rsid w:val="00CA5F2E"/>
    <w:pPr>
      <w:ind w:firstLine="0"/>
    </w:pPr>
  </w:style>
  <w:style w:type="paragraph" w:styleId="ListContinue5">
    <w:name w:val="List Continue 5"/>
    <w:basedOn w:val="List5"/>
    <w:rsid w:val="00CA5F2E"/>
    <w:pPr>
      <w:ind w:firstLine="0"/>
    </w:pPr>
  </w:style>
  <w:style w:type="paragraph" w:styleId="ListNumber3">
    <w:name w:val="List Number 3"/>
    <w:basedOn w:val="List3"/>
    <w:rsid w:val="00CA5F2E"/>
    <w:pPr>
      <w:numPr>
        <w:numId w:val="5"/>
      </w:numPr>
    </w:pPr>
  </w:style>
  <w:style w:type="paragraph" w:styleId="ListNumber4">
    <w:name w:val="List Number 4"/>
    <w:basedOn w:val="List4"/>
    <w:rsid w:val="00CA5F2E"/>
    <w:pPr>
      <w:numPr>
        <w:numId w:val="6"/>
      </w:numPr>
    </w:pPr>
  </w:style>
  <w:style w:type="paragraph" w:styleId="ListNumber5">
    <w:name w:val="List Number 5"/>
    <w:basedOn w:val="List5"/>
    <w:rsid w:val="00CA5F2E"/>
    <w:pPr>
      <w:numPr>
        <w:numId w:val="7"/>
      </w:numPr>
    </w:pPr>
  </w:style>
  <w:style w:type="paragraph" w:styleId="BlockText">
    <w:name w:val="Block Text"/>
    <w:basedOn w:val="Normal"/>
    <w:rsid w:val="00CA5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F2E"/>
    <w:rPr>
      <w:sz w:val="16"/>
      <w:vertAlign w:val="superscript"/>
    </w:rPr>
  </w:style>
  <w:style w:type="character" w:customStyle="1" w:styleId="Symbols">
    <w:name w:val="Symbols"/>
    <w:basedOn w:val="DefaultParagraphFont"/>
    <w:rsid w:val="00CA5F2E"/>
    <w:rPr>
      <w:rFonts w:ascii="Symbol" w:hAnsi="Symbol"/>
    </w:rPr>
  </w:style>
  <w:style w:type="character" w:customStyle="1" w:styleId="MenuOptions">
    <w:name w:val="Menu Options"/>
    <w:basedOn w:val="DefaultParagraphFont"/>
    <w:rsid w:val="00CA5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F2E"/>
    <w:rPr>
      <w:b/>
    </w:rPr>
  </w:style>
  <w:style w:type="character" w:customStyle="1" w:styleId="Underlined">
    <w:name w:val="Underlined"/>
    <w:basedOn w:val="DefaultParagraphFont"/>
    <w:rsid w:val="00CA5F2E"/>
    <w:rPr>
      <w:u w:val="single"/>
    </w:rPr>
  </w:style>
  <w:style w:type="paragraph" w:customStyle="1" w:styleId="TableBodyTextRight">
    <w:name w:val="Table Body Text Right"/>
    <w:basedOn w:val="TableBodyText"/>
    <w:rsid w:val="00CA5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F2E"/>
    <w:rPr>
      <w:sz w:val="18"/>
    </w:rPr>
  </w:style>
  <w:style w:type="paragraph" w:customStyle="1" w:styleId="BodySmallRight">
    <w:name w:val="Body Small Right"/>
    <w:basedOn w:val="BodyTextRight"/>
    <w:rsid w:val="00CA5F2E"/>
    <w:rPr>
      <w:sz w:val="18"/>
      <w:szCs w:val="18"/>
    </w:rPr>
  </w:style>
  <w:style w:type="paragraph" w:customStyle="1" w:styleId="MarginEdition">
    <w:name w:val="Margin Edition"/>
    <w:basedOn w:val="MarginNote"/>
    <w:rsid w:val="00CA5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F2E"/>
    <w:rPr>
      <w:sz w:val="2"/>
      <w:szCs w:val="2"/>
    </w:rPr>
  </w:style>
  <w:style w:type="character" w:customStyle="1" w:styleId="Small">
    <w:name w:val="Small"/>
    <w:basedOn w:val="DefaultParagraphFont"/>
    <w:rsid w:val="00CA5F2E"/>
    <w:rPr>
      <w:sz w:val="16"/>
    </w:rPr>
  </w:style>
  <w:style w:type="paragraph" w:customStyle="1" w:styleId="WideTable">
    <w:name w:val="Wide Table"/>
    <w:basedOn w:val="Normal"/>
    <w:rsid w:val="00CA5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F2E"/>
  </w:style>
  <w:style w:type="paragraph" w:styleId="Quote">
    <w:name w:val="Quote"/>
    <w:basedOn w:val="Heading1"/>
    <w:link w:val="QuoteChar"/>
    <w:qFormat/>
    <w:rsid w:val="00CA5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F2E"/>
    <w:pPr>
      <w:pageBreakBefore/>
    </w:pPr>
  </w:style>
  <w:style w:type="paragraph" w:customStyle="1" w:styleId="Border">
    <w:name w:val="Border"/>
    <w:basedOn w:val="Normal"/>
    <w:qFormat/>
    <w:rsid w:val="00CA5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F2E"/>
    <w:rPr>
      <w:u w:val="single"/>
    </w:rPr>
  </w:style>
  <w:style w:type="character" w:customStyle="1" w:styleId="BoldandItalics">
    <w:name w:val="Bold and Italics"/>
    <w:qFormat/>
    <w:rsid w:val="00CA5F2E"/>
    <w:rPr>
      <w:b/>
      <w:i/>
      <w:u w:val="none"/>
    </w:rPr>
  </w:style>
  <w:style w:type="paragraph" w:styleId="BalloonText">
    <w:name w:val="Balloon Text"/>
    <w:basedOn w:val="Normal"/>
    <w:link w:val="BalloonTextChar"/>
    <w:rsid w:val="00CA5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F2E"/>
    <w:pPr>
      <w:spacing w:before="0" w:after="0"/>
    </w:pPr>
  </w:style>
  <w:style w:type="paragraph" w:customStyle="1" w:styleId="BodyTextBold">
    <w:name w:val="Body Text Bold"/>
    <w:basedOn w:val="BodyText"/>
    <w:qFormat/>
    <w:rsid w:val="00CA5F2E"/>
    <w:rPr>
      <w:b/>
    </w:rPr>
  </w:style>
  <w:style w:type="character" w:styleId="Hyperlink">
    <w:name w:val="Hyperlink"/>
    <w:basedOn w:val="DefaultParagraphFont"/>
    <w:uiPriority w:val="99"/>
    <w:unhideWhenUsed/>
    <w:rsid w:val="00160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3800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FWPWPP3219 Blend and test binding mixes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2020-12-04T01:36:00Z</dcterms:created>
  <dcterms:modified xsi:type="dcterms:W3CDTF">2020-12-04T01:36:00Z</dcterms:modified>
</cp:coreProperties>
</file>