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227" w:rsidP="006E12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FWPWPP3209 Prepare resin and additives</w:t>
      </w:r>
      <w:r>
        <w:fldChar w:fldCharType="end"/>
      </w:r>
    </w:p>
    <w:p w:rsidR="006E1227" w:rsidP="006E1227">
      <w:pPr>
        <w:pStyle w:val="Version"/>
        <w:sectPr w:rsidSect="003074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07408" w:rsidP="00307408">
      <w:pPr>
        <w:pStyle w:val="SuperHeading"/>
      </w:pPr>
      <w:r w:rsidRPr="00307408">
        <w:t>FWPWPP3209 Prepare resin and additives</w:t>
      </w:r>
    </w:p>
    <w:p w:rsidR="00000000" w:rsidRPr="00307408" w:rsidP="00307408">
      <w:pPr>
        <w:pStyle w:val="Heading1"/>
      </w:pPr>
      <w:bookmarkStart w:id="1" w:name="O_1018718"/>
      <w:bookmarkEnd w:id="1"/>
      <w:r w:rsidRPr="003074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07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408" w:rsidP="00307408">
            <w:pPr>
              <w:pStyle w:val="BodyText"/>
            </w:pPr>
            <w:r w:rsidRPr="0030740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rPr>
                <w:rStyle w:val="SpecialBold"/>
              </w:rPr>
              <w:t>Comments</w:t>
            </w:r>
          </w:p>
        </w:tc>
      </w:tr>
      <w:tr w:rsidTr="00307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t>This version released with FWP Forest and Wood Products Training Package Version 4.0.</w:t>
            </w:r>
          </w:p>
        </w:tc>
      </w:tr>
      <w:tr w:rsidTr="00307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408" w:rsidP="00307408">
            <w:pPr>
              <w:pStyle w:val="BodyText"/>
            </w:pPr>
            <w:r w:rsidRPr="00307408">
              <w:t>This version replaces equivalent unit FPIWPP3209B Prepare resin and additives, which was first released with F</w:t>
            </w:r>
            <w:r w:rsidRPr="00307408">
              <w:t>PI11 Forest and Forest Products Training Package Version 2.2.</w:t>
            </w:r>
          </w:p>
          <w:p w:rsidR="00000000" w:rsidRPr="00307408" w:rsidP="00307408">
            <w:pPr>
              <w:pStyle w:val="BodyText"/>
            </w:pPr>
            <w:r w:rsidRPr="00307408">
              <w:t>This is the first release of this unit in the new standards format.</w:t>
            </w:r>
          </w:p>
        </w:tc>
      </w:tr>
    </w:tbl>
    <w:p w:rsidR="00000000" w:rsidRPr="00307408" w:rsidP="00307408">
      <w:pPr>
        <w:pStyle w:val="BodyText"/>
      </w:pPr>
    </w:p>
    <w:p w:rsidR="00000000" w:rsidRPr="00307408" w:rsidP="00307408">
      <w:pPr>
        <w:pStyle w:val="AllowPageBreak"/>
      </w:pPr>
    </w:p>
    <w:p w:rsidR="00000000" w:rsidRPr="00307408" w:rsidP="00307408">
      <w:pPr>
        <w:pStyle w:val="Heading1"/>
      </w:pPr>
      <w:bookmarkStart w:id="2" w:name="O_1018717"/>
      <w:bookmarkEnd w:id="2"/>
      <w:r w:rsidRPr="00307408">
        <w:t>Application</w:t>
      </w:r>
    </w:p>
    <w:p w:rsidR="00000000" w:rsidRPr="00307408" w:rsidP="006E1227">
      <w:pPr>
        <w:pStyle w:val="BodyText"/>
      </w:pPr>
      <w:r w:rsidRPr="00307408">
        <w:t>This unit of competency describes the skills and knowledge required to mix glue, resin and ad</w:t>
      </w:r>
      <w:r w:rsidRPr="00307408">
        <w:t xml:space="preserve">ditives for use in the production of engineered wood products. </w:t>
      </w:r>
    </w:p>
    <w:p w:rsidR="00000000" w:rsidRPr="00307408" w:rsidP="006E1227">
      <w:pPr>
        <w:pStyle w:val="BodyText"/>
      </w:pPr>
      <w:r w:rsidRPr="00307408">
        <w:t>The unit applies individuals who work as production operators and technicians in an engineered wood products facility. Operators generally work under broad or limited direction to complete rou</w:t>
      </w:r>
      <w:r w:rsidRPr="00307408">
        <w:t>tine activities related to their own work, and take responsibility for their work.</w:t>
      </w:r>
    </w:p>
    <w:p w:rsidR="00000000" w:rsidRPr="00307408" w:rsidP="006E1227">
      <w:pPr>
        <w:pStyle w:val="BodyText"/>
      </w:pPr>
      <w:r w:rsidRPr="00307408">
        <w:t>All work must be carried out to comply with workplace procedures, according to state/territory health and safety regulations, legislation and standards that apply to the wor</w:t>
      </w:r>
      <w:r w:rsidRPr="00307408">
        <w:t>kplace.</w:t>
      </w:r>
    </w:p>
    <w:p w:rsidR="00000000" w:rsidRPr="00307408" w:rsidP="006E1227">
      <w:pPr>
        <w:pStyle w:val="BodyText"/>
      </w:pPr>
      <w:r w:rsidRPr="00307408">
        <w:t>No licensing, legislative, regulatory or certification requirements apply to this unit at the time of publication.</w:t>
      </w:r>
    </w:p>
    <w:p w:rsidR="00000000" w:rsidRPr="00307408" w:rsidP="00307408">
      <w:pPr>
        <w:pStyle w:val="Heading1"/>
      </w:pPr>
      <w:bookmarkStart w:id="3" w:name="O_1018716"/>
      <w:bookmarkEnd w:id="3"/>
      <w:r w:rsidRPr="00307408">
        <w:t>Pre-requisite Unit</w:t>
      </w:r>
    </w:p>
    <w:p w:rsidR="00000000" w:rsidRPr="00307408" w:rsidP="006E1227">
      <w:pPr>
        <w:pStyle w:val="BodyText"/>
      </w:pPr>
      <w:r w:rsidRPr="00307408">
        <w:t>Nil</w:t>
      </w:r>
    </w:p>
    <w:p w:rsidR="00000000" w:rsidRPr="00307408" w:rsidP="00307408">
      <w:pPr>
        <w:pStyle w:val="Heading1"/>
      </w:pPr>
      <w:bookmarkStart w:id="4" w:name="O_1018715"/>
      <w:bookmarkEnd w:id="4"/>
      <w:r w:rsidRPr="00307408">
        <w:t>Unit Sector</w:t>
      </w:r>
    </w:p>
    <w:p w:rsidR="006E1227" w:rsidP="006E1227">
      <w:pPr>
        <w:pStyle w:val="BodyText"/>
      </w:pPr>
      <w:r w:rsidRPr="00307408">
        <w:t>Wood Panel Products</w:t>
      </w:r>
    </w:p>
    <w:p w:rsidR="00000000" w:rsidRPr="00307408" w:rsidP="00307408">
      <w:pPr>
        <w:pStyle w:val="Heading1"/>
      </w:pPr>
      <w:bookmarkStart w:id="5" w:name="O_1018714"/>
      <w:bookmarkEnd w:id="5"/>
      <w:r w:rsidRPr="0030740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1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408" w:rsidP="00307408">
            <w:pPr>
              <w:pStyle w:val="BodyText"/>
            </w:pPr>
            <w:r w:rsidRPr="0030740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rPr>
                <w:rStyle w:val="SpecialBold"/>
              </w:rPr>
              <w:t>Performance Criteria</w:t>
            </w:r>
          </w:p>
        </w:tc>
      </w:tr>
      <w:tr w:rsidTr="006E1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408" w:rsidP="00307408">
            <w:pPr>
              <w:pStyle w:val="BodyText"/>
            </w:pPr>
            <w:r w:rsidRPr="0030740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1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t>1. Prepare for mixing resin and additives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408" w:rsidP="00307408">
            <w:pPr>
              <w:pStyle w:val="BodyText"/>
            </w:pPr>
            <w:r w:rsidRPr="00307408">
              <w:t>1.1 Review</w:t>
            </w:r>
            <w:r w:rsidRPr="00307408">
              <w:t xml:space="preserve"> work order, workplace health and safety requirements, environmental protection practices and emergency procedures for mixing resin and additives and, where required, check with appropriate personnel</w:t>
            </w:r>
          </w:p>
          <w:p w:rsidR="00000000" w:rsidRPr="00307408" w:rsidP="00307408">
            <w:pPr>
              <w:pStyle w:val="BodyText"/>
            </w:pPr>
            <w:r w:rsidRPr="00307408">
              <w:t>1.2 Identify and report hazards and use personal protective equipment according to workplace requirements and health and safety legislation to maintain safe work practices</w:t>
            </w:r>
          </w:p>
          <w:p w:rsidR="00000000" w:rsidRPr="00307408" w:rsidP="00307408">
            <w:pPr>
              <w:pStyle w:val="BodyText"/>
            </w:pPr>
            <w:r w:rsidRPr="00307408">
              <w:t>1.3 Obtain the type and quantity of glue or resin to be mixed from a storage locatio</w:t>
            </w:r>
            <w:r w:rsidRPr="00307408">
              <w:t>n</w:t>
            </w:r>
          </w:p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t>1.4 Select the mixing process and plan according to work order</w:t>
            </w:r>
          </w:p>
        </w:tc>
      </w:tr>
      <w:tr w:rsidTr="006E1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t>2. Mix glue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408" w:rsidP="00307408">
            <w:pPr>
              <w:pStyle w:val="BodyText"/>
            </w:pPr>
            <w:r w:rsidRPr="00307408">
              <w:t>2.1 Use equipment according to workplace health and safety procedures, manufacturer instructions and environmental protection practices</w:t>
            </w:r>
          </w:p>
          <w:p w:rsidR="00000000" w:rsidRPr="00307408" w:rsidP="00307408">
            <w:pPr>
              <w:pStyle w:val="BodyText"/>
            </w:pPr>
            <w:r w:rsidRPr="00307408">
              <w:t>2.2 Measure and mix glue or resin ingredie</w:t>
            </w:r>
            <w:r w:rsidRPr="00307408">
              <w:t>nts and additives to ensure minimum wastage</w:t>
            </w:r>
          </w:p>
          <w:p w:rsidR="00000000" w:rsidRPr="00307408" w:rsidP="00307408">
            <w:pPr>
              <w:pStyle w:val="BodyText"/>
            </w:pPr>
            <w:r w:rsidRPr="00307408">
              <w:t>2.3 Transfer mix to appropriate storage location or production equipment through transfer lines without contaminating</w:t>
            </w:r>
          </w:p>
          <w:p w:rsidR="00000000" w:rsidRPr="00307408" w:rsidP="00307408">
            <w:pPr>
              <w:pStyle w:val="BodyText"/>
            </w:pPr>
            <w:r w:rsidRPr="00307408">
              <w:t xml:space="preserve">2.4 Monitor rate that glue or resins and additives are being added, and where required adjust </w:t>
            </w:r>
            <w:r w:rsidRPr="00307408">
              <w:t>pumps</w:t>
            </w:r>
          </w:p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t>2.5 Test mix samples regularly according to manufacturer instructions</w:t>
            </w:r>
          </w:p>
        </w:tc>
      </w:tr>
      <w:tr w:rsidTr="006E1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t>3. Maintain and clean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408" w:rsidP="00307408">
            <w:pPr>
              <w:pStyle w:val="BodyText"/>
            </w:pPr>
            <w:r w:rsidRPr="00307408">
              <w:t>3.1 Clean mixing, storage and transfer equipment according to workplace health and safety procedures</w:t>
            </w:r>
          </w:p>
          <w:p w:rsidR="00000000" w:rsidRPr="00307408" w:rsidP="00307408">
            <w:pPr>
              <w:pStyle w:val="BodyText"/>
            </w:pPr>
            <w:r w:rsidRPr="00307408">
              <w:t>3.2 Turn off pumps and flush equipment accordi</w:t>
            </w:r>
            <w:r w:rsidRPr="00307408">
              <w:t>ng to workplace health and safety procedures and manufacturer recommendations</w:t>
            </w:r>
          </w:p>
          <w:p w:rsidR="00000000" w:rsidRPr="00307408" w:rsidP="00307408">
            <w:pPr>
              <w:pStyle w:val="BodyText"/>
            </w:pPr>
            <w:r w:rsidRPr="00307408">
              <w:t>3.3 Dispose of excess glue or resin and additives in line with environmental protection practices, and store equipment</w:t>
            </w:r>
          </w:p>
          <w:p w:rsidR="00000000" w:rsidRPr="00307408" w:rsidP="00307408">
            <w:pPr>
              <w:pStyle w:val="BodyText"/>
            </w:pPr>
            <w:r w:rsidRPr="00307408">
              <w:t>3.4 Record and report production outcomes and equipment fau</w:t>
            </w:r>
            <w:r w:rsidRPr="00307408">
              <w:t>lts to appropriate personnel</w:t>
            </w:r>
          </w:p>
        </w:tc>
      </w:tr>
    </w:tbl>
    <w:p w:rsidR="00000000" w:rsidRPr="00307408" w:rsidP="00307408">
      <w:pPr>
        <w:pStyle w:val="BodyText"/>
      </w:pPr>
    </w:p>
    <w:p w:rsidR="00000000" w:rsidRPr="00307408" w:rsidP="00307408">
      <w:pPr>
        <w:pStyle w:val="AllowPageBreak"/>
      </w:pPr>
    </w:p>
    <w:p w:rsidR="00000000" w:rsidRPr="00307408" w:rsidP="00307408">
      <w:pPr>
        <w:pStyle w:val="Heading1"/>
      </w:pPr>
      <w:bookmarkStart w:id="6" w:name="O_1018713"/>
      <w:bookmarkEnd w:id="6"/>
      <w:r w:rsidRPr="00307408">
        <w:t>Foundation Skills</w:t>
      </w:r>
    </w:p>
    <w:p w:rsidR="00000000" w:rsidRPr="006E1227" w:rsidP="006E1227">
      <w:pPr>
        <w:pStyle w:val="BodyText"/>
        <w:rPr>
          <w:i/>
        </w:rPr>
      </w:pPr>
      <w:r w:rsidRPr="006E1227">
        <w:rPr>
          <w:rStyle w:val="Emphasis"/>
        </w:rPr>
        <w:t>This section describes those language, literacy, numeracy and employment skills that are essential for performance in this unit of competency but are not explicit in the performance criter</w:t>
      </w:r>
      <w:r w:rsidRPr="006E1227">
        <w:rPr>
          <w:rStyle w:val="Emphasis"/>
        </w:rPr>
        <w:t>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7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408" w:rsidP="00307408">
            <w:pPr>
              <w:pStyle w:val="BodyText"/>
            </w:pPr>
            <w:r w:rsidRPr="0030740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rPr>
                <w:rStyle w:val="SpecialBold"/>
              </w:rPr>
              <w:t>Description</w:t>
            </w:r>
          </w:p>
        </w:tc>
      </w:tr>
      <w:tr w:rsidTr="00307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408" w:rsidP="00307408">
            <w:pPr>
              <w:pStyle w:val="ListBullet"/>
            </w:pPr>
            <w:r w:rsidRPr="00307408">
              <w:t>Calculate the quantity of glue or resin to meet work order production requirements</w:t>
            </w:r>
          </w:p>
          <w:p w:rsidR="00000000" w:rsidRPr="00307408" w:rsidP="00307408">
            <w:pPr>
              <w:pStyle w:val="ListBullet"/>
            </w:pPr>
            <w:r w:rsidRPr="00307408">
              <w:t>Calculate routine mixing ratios for glue or resin and additives</w:t>
            </w:r>
          </w:p>
          <w:p w:rsidR="00000000" w:rsidP="00307408">
            <w:pPr>
              <w:pStyle w:val="ListBullet"/>
              <w:rPr>
                <w:lang w:val="en-NZ"/>
              </w:rPr>
            </w:pPr>
            <w:r w:rsidRPr="00307408">
              <w:t>Interpret numerical data from test samples</w:t>
            </w:r>
          </w:p>
        </w:tc>
      </w:tr>
      <w:tr w:rsidTr="00307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ListBullet"/>
              <w:rPr>
                <w:lang w:val="en-NZ"/>
              </w:rPr>
            </w:pPr>
            <w:r w:rsidRPr="00307408">
              <w:t>Interpret safety data sheets for glue, resins and additives</w:t>
            </w:r>
          </w:p>
        </w:tc>
      </w:tr>
      <w:tr w:rsidTr="00307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ListBullet"/>
              <w:rPr>
                <w:lang w:val="en-NZ"/>
              </w:rPr>
            </w:pPr>
            <w:r w:rsidRPr="00307408">
              <w:t>Understand main tasks, responsibilities and boundaries of own role</w:t>
            </w:r>
          </w:p>
        </w:tc>
      </w:tr>
      <w:tr w:rsidTr="00307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ListBullet"/>
              <w:rPr>
                <w:lang w:val="en-NZ"/>
              </w:rPr>
            </w:pPr>
            <w:r w:rsidRPr="00307408">
              <w:t>Use modes of communication suitable for the purpose to confirm and clarify understanding</w:t>
            </w:r>
          </w:p>
        </w:tc>
      </w:tr>
      <w:tr w:rsidTr="00307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408" w:rsidP="00307408">
            <w:pPr>
              <w:pStyle w:val="ListBullet"/>
            </w:pPr>
            <w:r w:rsidRPr="00307408">
              <w:t>Recognise and respond to routine problems by reporting or rectifying</w:t>
            </w:r>
          </w:p>
        </w:tc>
      </w:tr>
    </w:tbl>
    <w:p w:rsidR="00000000" w:rsidRPr="00307408" w:rsidP="00307408">
      <w:pPr>
        <w:pStyle w:val="BodyText"/>
      </w:pPr>
    </w:p>
    <w:p w:rsidR="00000000" w:rsidRPr="00307408" w:rsidP="00307408">
      <w:pPr>
        <w:pStyle w:val="AllowPageBreak"/>
      </w:pPr>
    </w:p>
    <w:p w:rsidR="00000000" w:rsidRPr="00307408" w:rsidP="00307408">
      <w:pPr>
        <w:pStyle w:val="Heading1"/>
      </w:pPr>
      <w:bookmarkStart w:id="7" w:name="O_1018711"/>
      <w:bookmarkEnd w:id="7"/>
      <w:r w:rsidRPr="0030740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07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408" w:rsidP="00307408">
            <w:pPr>
              <w:pStyle w:val="BodyText"/>
            </w:pPr>
            <w:r w:rsidRPr="0030740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408" w:rsidP="00307408">
            <w:pPr>
              <w:pStyle w:val="BodyText"/>
            </w:pPr>
            <w:r w:rsidRPr="00307408">
              <w:rPr>
                <w:rStyle w:val="SpecialBold"/>
              </w:rPr>
              <w:t>C</w:t>
            </w:r>
            <w:r w:rsidRPr="00307408">
              <w:rPr>
                <w:rStyle w:val="SpecialBold"/>
              </w:rPr>
              <w:t>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408" w:rsidP="00307408">
            <w:pPr>
              <w:pStyle w:val="BodyText"/>
            </w:pPr>
            <w:r w:rsidRPr="0030740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rPr>
                <w:rStyle w:val="SpecialBold"/>
              </w:rPr>
              <w:t>Equivalence status</w:t>
            </w:r>
          </w:p>
        </w:tc>
      </w:tr>
      <w:tr w:rsidTr="00307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408" w:rsidP="00307408">
            <w:pPr>
              <w:pStyle w:val="BodyText"/>
            </w:pPr>
            <w:r w:rsidRPr="00307408">
              <w:t>FWPWPP3209 Prepare resin and additives</w:t>
            </w:r>
          </w:p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408" w:rsidP="00307408">
            <w:pPr>
              <w:pStyle w:val="BodyText"/>
            </w:pPr>
            <w:r w:rsidRPr="00307408">
              <w:t>FWPWPP3209 Prepare resin and additives</w:t>
            </w:r>
          </w:p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408">
            <w:pPr>
              <w:pStyle w:val="BodyText"/>
              <w:rPr>
                <w:lang w:val="en-NZ"/>
              </w:rPr>
            </w:pPr>
            <w:r w:rsidRPr="00307408">
              <w:t>Updated industry terminology, workplace health and safety requirements and foundation skills; clarified the intent of the unit and assessment requirements.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408" w:rsidP="00307408">
            <w:pPr>
              <w:pStyle w:val="BodyText"/>
            </w:pPr>
            <w:r w:rsidRPr="00307408">
              <w:t xml:space="preserve">Equivalent unit </w:t>
            </w:r>
          </w:p>
          <w:p w:rsidR="00000000" w:rsidRPr="00307408" w:rsidP="00307408">
            <w:pPr>
              <w:pStyle w:val="BodyText"/>
            </w:pPr>
          </w:p>
        </w:tc>
      </w:tr>
    </w:tbl>
    <w:p w:rsidR="00000000" w:rsidRPr="00307408" w:rsidP="00307408">
      <w:pPr>
        <w:pStyle w:val="BodyText"/>
      </w:pPr>
    </w:p>
    <w:p w:rsidR="00000000" w:rsidRPr="00307408" w:rsidP="00307408">
      <w:pPr>
        <w:pStyle w:val="AllowPageBreak"/>
      </w:pPr>
    </w:p>
    <w:p w:rsidR="00000000" w:rsidRPr="00307408" w:rsidP="00307408">
      <w:pPr>
        <w:pStyle w:val="Heading1"/>
      </w:pPr>
      <w:bookmarkStart w:id="8" w:name="O_1018719"/>
      <w:bookmarkEnd w:id="8"/>
      <w:r w:rsidRPr="00307408">
        <w:t>Links</w:t>
      </w:r>
    </w:p>
    <w:p w:rsidR="00000000" w:rsidRPr="00307408" w:rsidP="006E1227">
      <w:pPr>
        <w:pStyle w:val="BodyText"/>
      </w:pPr>
      <w:r w:rsidRPr="00307408">
        <w:t>Companion Volumes, including Implementation Guides, are</w:t>
      </w:r>
      <w:r w:rsidRPr="00307408">
        <w:t xml:space="preserve">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64EF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07408" w:rsidP="00307408"/>
    <w:sectPr w:rsidSect="003074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4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408" w:rsidRPr="006E1227" w:rsidP="006E12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4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227" w:rsidP="003074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227" w:rsidP="003074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1227" w:rsidP="003074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4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2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7408" w:rsidRPr="006E1227" w:rsidP="006E12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4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227" w:rsidRPr="002D2AF8" w:rsidP="003074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FWPWPP3209 Prepare resin and additives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6E1227" w:rsidP="003074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62C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1221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4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74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74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74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74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74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74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74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74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74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74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7408"/>
  </w:style>
  <w:style w:type="character" w:customStyle="1" w:styleId="Heading1Char">
    <w:name w:val="Heading 1 Char"/>
    <w:basedOn w:val="DefaultParagraphFont"/>
    <w:link w:val="Heading1"/>
    <w:rsid w:val="003074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74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74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74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7408"/>
    <w:rPr>
      <w:b/>
      <w:spacing w:val="0"/>
    </w:rPr>
  </w:style>
  <w:style w:type="character" w:styleId="Emphasis">
    <w:name w:val="Emphasis"/>
    <w:basedOn w:val="DefaultParagraphFont"/>
    <w:qFormat/>
    <w:rsid w:val="00307408"/>
    <w:rPr>
      <w:i/>
    </w:rPr>
  </w:style>
  <w:style w:type="paragraph" w:customStyle="1" w:styleId="SuperHeading">
    <w:name w:val="SuperHeading"/>
    <w:basedOn w:val="Normal"/>
    <w:rsid w:val="003074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74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74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74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74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7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7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7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7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74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74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74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74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74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74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74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74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74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74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74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74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74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74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74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74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74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74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74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74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74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74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74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74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74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74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74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74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74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7408"/>
  </w:style>
  <w:style w:type="paragraph" w:styleId="TableofFigures">
    <w:name w:val="table of figures"/>
    <w:basedOn w:val="Normal"/>
    <w:next w:val="Normal"/>
    <w:semiHidden/>
    <w:rsid w:val="003074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74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7408"/>
    <w:rPr>
      <w:rFonts w:ascii="Wingdings" w:hAnsi="Wingdings"/>
    </w:rPr>
  </w:style>
  <w:style w:type="paragraph" w:customStyle="1" w:styleId="TableHeading">
    <w:name w:val="Table Heading"/>
    <w:basedOn w:val="HeadingBase"/>
    <w:rsid w:val="003074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7408"/>
    <w:rPr>
      <w:color w:val="0033CC"/>
      <w:u w:val="none"/>
    </w:rPr>
  </w:style>
  <w:style w:type="paragraph" w:customStyle="1" w:styleId="BodyTextRight">
    <w:name w:val="Body Text Right"/>
    <w:basedOn w:val="BodyText"/>
    <w:rsid w:val="003074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74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74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74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74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74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7408"/>
    <w:rPr>
      <w:sz w:val="32"/>
    </w:rPr>
  </w:style>
  <w:style w:type="paragraph" w:customStyle="1" w:styleId="HeadingProcedure">
    <w:name w:val="Heading Procedure"/>
    <w:basedOn w:val="HeadingBase"/>
    <w:next w:val="Normal"/>
    <w:rsid w:val="003074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7408"/>
    <w:pPr>
      <w:spacing w:before="60" w:after="60"/>
    </w:pPr>
  </w:style>
  <w:style w:type="paragraph" w:styleId="ListContinue">
    <w:name w:val="List Continue"/>
    <w:basedOn w:val="List"/>
    <w:rsid w:val="00307408"/>
    <w:pPr>
      <w:ind w:firstLine="0"/>
    </w:pPr>
  </w:style>
  <w:style w:type="paragraph" w:customStyle="1" w:styleId="ListNote">
    <w:name w:val="List Note"/>
    <w:basedOn w:val="List"/>
    <w:rsid w:val="003074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74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74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7408"/>
    <w:rPr>
      <w:rFonts w:ascii="Courier New" w:hAnsi="Courier New"/>
    </w:rPr>
  </w:style>
  <w:style w:type="paragraph" w:customStyle="1" w:styleId="NoteBullet">
    <w:name w:val="Note Bullet"/>
    <w:basedOn w:val="Note"/>
    <w:rsid w:val="003074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74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74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74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74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74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74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7408"/>
    <w:rPr>
      <w:b/>
      <w:smallCaps/>
    </w:rPr>
  </w:style>
  <w:style w:type="paragraph" w:customStyle="1" w:styleId="TableListNumber">
    <w:name w:val="Table List Number"/>
    <w:basedOn w:val="ListNumber"/>
    <w:rsid w:val="003074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74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7408"/>
    <w:pPr>
      <w:numPr>
        <w:numId w:val="8"/>
      </w:numPr>
    </w:pPr>
  </w:style>
  <w:style w:type="paragraph" w:customStyle="1" w:styleId="ListAlpha2">
    <w:name w:val="List Alpha 2"/>
    <w:basedOn w:val="List2"/>
    <w:rsid w:val="00307408"/>
    <w:pPr>
      <w:numPr>
        <w:numId w:val="7"/>
      </w:numPr>
    </w:pPr>
  </w:style>
  <w:style w:type="paragraph" w:styleId="List2">
    <w:name w:val="List 2"/>
    <w:basedOn w:val="BodyText"/>
    <w:rsid w:val="003074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74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74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74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74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74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7408"/>
    <w:pPr>
      <w:numPr>
        <w:numId w:val="3"/>
      </w:numPr>
    </w:pPr>
  </w:style>
  <w:style w:type="paragraph" w:styleId="ListContinue2">
    <w:name w:val="List Continue 2"/>
    <w:basedOn w:val="List2"/>
    <w:rsid w:val="00307408"/>
    <w:pPr>
      <w:ind w:firstLine="0"/>
    </w:pPr>
  </w:style>
  <w:style w:type="paragraph" w:styleId="ListContinue3">
    <w:name w:val="List Continue 3"/>
    <w:basedOn w:val="List3"/>
    <w:rsid w:val="00307408"/>
    <w:pPr>
      <w:ind w:left="1021" w:firstLine="0"/>
    </w:pPr>
  </w:style>
  <w:style w:type="paragraph" w:styleId="ListContinue4">
    <w:name w:val="List Continue 4"/>
    <w:basedOn w:val="List4"/>
    <w:rsid w:val="00307408"/>
    <w:pPr>
      <w:ind w:firstLine="0"/>
    </w:pPr>
  </w:style>
  <w:style w:type="paragraph" w:styleId="ListContinue5">
    <w:name w:val="List Continue 5"/>
    <w:basedOn w:val="List5"/>
    <w:rsid w:val="00307408"/>
    <w:pPr>
      <w:ind w:firstLine="0"/>
    </w:pPr>
  </w:style>
  <w:style w:type="paragraph" w:styleId="ListNumber3">
    <w:name w:val="List Number 3"/>
    <w:basedOn w:val="List3"/>
    <w:rsid w:val="00307408"/>
    <w:pPr>
      <w:numPr>
        <w:numId w:val="4"/>
      </w:numPr>
    </w:pPr>
  </w:style>
  <w:style w:type="paragraph" w:styleId="ListNumber4">
    <w:name w:val="List Number 4"/>
    <w:basedOn w:val="List4"/>
    <w:rsid w:val="00307408"/>
    <w:pPr>
      <w:numPr>
        <w:numId w:val="5"/>
      </w:numPr>
    </w:pPr>
  </w:style>
  <w:style w:type="paragraph" w:styleId="ListNumber5">
    <w:name w:val="List Number 5"/>
    <w:basedOn w:val="List5"/>
    <w:rsid w:val="00307408"/>
    <w:pPr>
      <w:numPr>
        <w:numId w:val="6"/>
      </w:numPr>
    </w:pPr>
  </w:style>
  <w:style w:type="paragraph" w:styleId="BlockText">
    <w:name w:val="Block Text"/>
    <w:basedOn w:val="Normal"/>
    <w:rsid w:val="003074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74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7408"/>
    <w:rPr>
      <w:sz w:val="16"/>
      <w:vertAlign w:val="superscript"/>
    </w:rPr>
  </w:style>
  <w:style w:type="character" w:customStyle="1" w:styleId="Symbols">
    <w:name w:val="Symbols"/>
    <w:basedOn w:val="DefaultParagraphFont"/>
    <w:rsid w:val="00307408"/>
    <w:rPr>
      <w:rFonts w:ascii="Symbol" w:hAnsi="Symbol"/>
    </w:rPr>
  </w:style>
  <w:style w:type="character" w:customStyle="1" w:styleId="MenuOptions">
    <w:name w:val="Menu Options"/>
    <w:basedOn w:val="DefaultParagraphFont"/>
    <w:rsid w:val="003074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7408"/>
    <w:rPr>
      <w:b/>
    </w:rPr>
  </w:style>
  <w:style w:type="character" w:customStyle="1" w:styleId="Underlined">
    <w:name w:val="Underlined"/>
    <w:basedOn w:val="DefaultParagraphFont"/>
    <w:rsid w:val="00307408"/>
    <w:rPr>
      <w:u w:val="single"/>
    </w:rPr>
  </w:style>
  <w:style w:type="paragraph" w:customStyle="1" w:styleId="TableBodyTextRight">
    <w:name w:val="Table Body Text Right"/>
    <w:basedOn w:val="TableBodyText"/>
    <w:rsid w:val="003074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7408"/>
    <w:rPr>
      <w:sz w:val="18"/>
    </w:rPr>
  </w:style>
  <w:style w:type="paragraph" w:customStyle="1" w:styleId="BodySmallRight">
    <w:name w:val="Body Small Right"/>
    <w:basedOn w:val="BodyTextRight"/>
    <w:rsid w:val="00307408"/>
    <w:rPr>
      <w:sz w:val="18"/>
      <w:szCs w:val="18"/>
    </w:rPr>
  </w:style>
  <w:style w:type="paragraph" w:customStyle="1" w:styleId="MarginEdition">
    <w:name w:val="Margin Edition"/>
    <w:basedOn w:val="MarginNote"/>
    <w:rsid w:val="003074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7408"/>
    <w:rPr>
      <w:sz w:val="2"/>
      <w:szCs w:val="2"/>
    </w:rPr>
  </w:style>
  <w:style w:type="character" w:customStyle="1" w:styleId="Small">
    <w:name w:val="Small"/>
    <w:basedOn w:val="DefaultParagraphFont"/>
    <w:rsid w:val="00307408"/>
    <w:rPr>
      <w:sz w:val="16"/>
    </w:rPr>
  </w:style>
  <w:style w:type="paragraph" w:customStyle="1" w:styleId="WideTable">
    <w:name w:val="Wide Table"/>
    <w:basedOn w:val="Normal"/>
    <w:rsid w:val="003074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7408"/>
  </w:style>
  <w:style w:type="paragraph" w:styleId="Quote">
    <w:name w:val="Quote"/>
    <w:basedOn w:val="Heading1"/>
    <w:link w:val="QuoteChar"/>
    <w:qFormat/>
    <w:rsid w:val="003074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74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7408"/>
    <w:pPr>
      <w:pageBreakBefore/>
    </w:pPr>
  </w:style>
  <w:style w:type="paragraph" w:customStyle="1" w:styleId="Border">
    <w:name w:val="Border"/>
    <w:basedOn w:val="Normal"/>
    <w:qFormat/>
    <w:rsid w:val="003074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74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4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4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74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74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74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74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74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7408"/>
    <w:rPr>
      <w:u w:val="single"/>
    </w:rPr>
  </w:style>
  <w:style w:type="character" w:customStyle="1" w:styleId="BoldandItalics">
    <w:name w:val="Bold and Italics"/>
    <w:qFormat/>
    <w:rsid w:val="00307408"/>
    <w:rPr>
      <w:b/>
      <w:i/>
      <w:u w:val="none"/>
    </w:rPr>
  </w:style>
  <w:style w:type="paragraph" w:styleId="BalloonText">
    <w:name w:val="Balloon Text"/>
    <w:basedOn w:val="Normal"/>
    <w:link w:val="BalloonTextChar"/>
    <w:rsid w:val="003074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74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74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74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74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74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7408"/>
    <w:pPr>
      <w:spacing w:before="0" w:after="0"/>
    </w:pPr>
  </w:style>
  <w:style w:type="paragraph" w:customStyle="1" w:styleId="BodyTextBold">
    <w:name w:val="Body Text Bold"/>
    <w:basedOn w:val="BodyText"/>
    <w:qFormat/>
    <w:rsid w:val="00307408"/>
    <w:rPr>
      <w:b/>
    </w:rPr>
  </w:style>
  <w:style w:type="character" w:styleId="Hyperlink">
    <w:name w:val="Hyperlink"/>
    <w:basedOn w:val="DefaultParagraphFont"/>
    <w:uiPriority w:val="99"/>
    <w:unhideWhenUsed/>
    <w:rsid w:val="006E12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3927</Characters>
  <Application>Microsoft Office Word</Application>
  <DocSecurity>0</DocSecurity>
  <Lines>140</Lines>
  <Paragraphs>84</Paragraphs>
  <ScaleCrop>false</ScaleCrop>
  <Company>Author-it Software Corporation Ltd.</Company>
  <LinksUpToDate>false</LinksUpToDate>
  <CharactersWithSpaces>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FWPWPP3209 Prepare resin and additives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2022-02-23T00:37:00Z</dcterms:created>
  <dcterms:modified xsi:type="dcterms:W3CDTF">2022-02-23T00:37:00Z</dcterms:modified>
</cp:coreProperties>
</file>