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00E" w:rsidP="0063100E">
      <w:pPr>
        <w:pStyle w:val="Title"/>
      </w:pPr>
      <w:r>
        <w:fldChar w:fldCharType="begin"/>
      </w:r>
      <w:r>
        <w:instrText xml:space="preserve"> TITLE   \* MERGEFORMAT </w:instrText>
      </w:r>
      <w:r>
        <w:fldChar w:fldCharType="separate"/>
      </w:r>
      <w:r>
        <w:t>Assessment Requirements for FWPWPP3202 Paint panels</w:t>
      </w:r>
      <w:r>
        <w:fldChar w:fldCharType="end"/>
      </w:r>
    </w:p>
    <w:p w:rsidR="0063100E" w:rsidP="0063100E">
      <w:pPr>
        <w:pStyle w:val="Version"/>
        <w:sectPr w:rsidSect="00201E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E71" w:rsidP="00201E71">
      <w:pPr>
        <w:pStyle w:val="SuperHeading"/>
      </w:pPr>
      <w:r w:rsidRPr="00201E71">
        <w:t>Assessment Requirements for FWPWPP3202 Paint panels</w:t>
      </w:r>
    </w:p>
    <w:p w:rsidR="00000000" w:rsidRPr="00201E71" w:rsidP="00201E71">
      <w:pPr>
        <w:pStyle w:val="Heading1"/>
      </w:pPr>
      <w:bookmarkStart w:id="1" w:name="O_917035"/>
      <w:bookmarkEnd w:id="1"/>
      <w:r w:rsidRPr="00201E71">
        <w:t>Modification History</w:t>
      </w:r>
    </w:p>
    <w:tbl>
      <w:tblPr>
        <w:tblW w:w="0" w:type="auto"/>
        <w:tblCellMar>
          <w:left w:w="62" w:type="dxa"/>
          <w:right w:w="62" w:type="dxa"/>
        </w:tblCellMar>
        <w:tblLook w:val="0000"/>
      </w:tblPr>
      <w:tblGrid>
        <w:gridCol w:w="2007"/>
        <w:gridCol w:w="7189"/>
      </w:tblGrid>
      <w:tr w:rsidTr="006310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71" w:rsidP="00201E71">
            <w:pPr>
              <w:pStyle w:val="BodyText"/>
            </w:pPr>
            <w:r w:rsidRPr="00201E7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71">
            <w:pPr>
              <w:pStyle w:val="BodyText"/>
              <w:rPr>
                <w:lang w:val="en-NZ"/>
              </w:rPr>
            </w:pPr>
            <w:r w:rsidRPr="00201E71">
              <w:rPr>
                <w:rStyle w:val="SpecialBold"/>
              </w:rPr>
              <w:t>Comment</w:t>
            </w:r>
          </w:p>
        </w:tc>
      </w:tr>
      <w:tr w:rsidTr="006310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71">
            <w:pPr>
              <w:pStyle w:val="BodyText"/>
              <w:rPr>
                <w:lang w:val="en-NZ"/>
              </w:rPr>
            </w:pPr>
            <w:r w:rsidRPr="00201E7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71" w:rsidP="00201E71">
            <w:pPr>
              <w:pStyle w:val="BodyText"/>
            </w:pPr>
            <w:r w:rsidRPr="00201E71">
              <w:t>Replaces equivalent unit FPIWPP3202B Paint panels, which was first released with FPI11 Forest and Forest Products Training Package Version 2.2. This is the first release of this unit in the new standards form</w:t>
            </w:r>
            <w:r w:rsidRPr="00201E71">
              <w:t>at.</w:t>
            </w:r>
          </w:p>
          <w:p w:rsidR="00000000" w:rsidRPr="00201E71" w:rsidP="00201E71">
            <w:pPr>
              <w:pStyle w:val="BodyText"/>
            </w:pPr>
            <w:r w:rsidRPr="00201E71">
              <w:t>Assessment requirements now specify the performance and knowledge evidence, as well as assessment conditions for this unit of competency. These sections simplify and replace components used in the previous unit format, including Required Skills and Kno</w:t>
            </w:r>
            <w:r w:rsidRPr="00201E71">
              <w:t>wledge, Evidence Guide and Range Statement</w:t>
            </w:r>
          </w:p>
        </w:tc>
      </w:tr>
    </w:tbl>
    <w:p w:rsidR="00000000" w:rsidRPr="00201E71" w:rsidP="00201E71">
      <w:pPr>
        <w:pStyle w:val="BodyText"/>
      </w:pPr>
    </w:p>
    <w:p w:rsidR="00000000" w:rsidRPr="00201E71" w:rsidP="00201E71">
      <w:pPr>
        <w:pStyle w:val="AllowPageBreak"/>
      </w:pPr>
    </w:p>
    <w:p w:rsidR="00000000" w:rsidRPr="00201E71" w:rsidP="00201E71">
      <w:pPr>
        <w:pStyle w:val="Heading1"/>
      </w:pPr>
      <w:bookmarkStart w:id="2" w:name="O_917036"/>
      <w:bookmarkEnd w:id="2"/>
      <w:r w:rsidRPr="00201E71">
        <w:t>Performance Evidence</w:t>
      </w:r>
    </w:p>
    <w:p w:rsidR="00000000" w:rsidRPr="00201E71" w:rsidP="0063100E">
      <w:pPr>
        <w:pStyle w:val="BodyText"/>
      </w:pPr>
      <w:r w:rsidRPr="00201E71">
        <w:t xml:space="preserve">A person demonstrating competency in this unit must satisfy all of the elements, performance criteria and foundation skills of this unit.  If a specific volume or frequency </w:t>
      </w:r>
      <w:r w:rsidRPr="00201E71">
        <w:t>is not stated below, then evidence must be provided that the following requirements have been performed on at least one occasion:</w:t>
      </w:r>
    </w:p>
    <w:p w:rsidR="00000000" w:rsidRPr="00201E71" w:rsidP="00201E71">
      <w:pPr>
        <w:pStyle w:val="ListBullet"/>
      </w:pPr>
      <w:r w:rsidRPr="00201E71">
        <w:t>paint panels in line with individual work orders for each job; types of panels include:</w:t>
      </w:r>
    </w:p>
    <w:p w:rsidR="00000000" w:rsidRPr="00201E71" w:rsidP="00201E71">
      <w:pPr>
        <w:pStyle w:val="ListBullet2"/>
      </w:pPr>
      <w:r w:rsidRPr="00201E71">
        <w:t>medium density fibreboard</w:t>
      </w:r>
    </w:p>
    <w:p w:rsidR="00000000" w:rsidRPr="00201E71" w:rsidP="00201E71">
      <w:pPr>
        <w:pStyle w:val="ListBullet2"/>
      </w:pPr>
      <w:r w:rsidRPr="00201E71">
        <w:t>chipboard</w:t>
      </w:r>
    </w:p>
    <w:p w:rsidR="00000000" w:rsidRPr="00201E71" w:rsidP="00201E71">
      <w:pPr>
        <w:pStyle w:val="ListBullet2"/>
      </w:pPr>
      <w:r w:rsidRPr="00201E71">
        <w:t>fibreboard</w:t>
      </w:r>
    </w:p>
    <w:p w:rsidR="00000000" w:rsidRPr="00201E71" w:rsidP="00201E71">
      <w:pPr>
        <w:pStyle w:val="ListBullet2"/>
      </w:pPr>
      <w:r w:rsidRPr="00201E71">
        <w:t>plywood</w:t>
      </w:r>
    </w:p>
    <w:p w:rsidR="00000000" w:rsidRPr="00201E71" w:rsidP="00201E71">
      <w:pPr>
        <w:pStyle w:val="ListBullet"/>
      </w:pPr>
      <w:r w:rsidRPr="00201E71">
        <w:t>at the completion of each of the above jobs:</w:t>
      </w:r>
    </w:p>
    <w:p w:rsidR="00000000" w:rsidRPr="00201E71" w:rsidP="00201E71">
      <w:pPr>
        <w:pStyle w:val="ListBullet2"/>
      </w:pPr>
      <w:r w:rsidRPr="00201E71">
        <w:t>shut-down and clean equipment in line with organisational safety procedures</w:t>
      </w:r>
    </w:p>
    <w:p w:rsidR="00000000" w:rsidRPr="00201E71" w:rsidP="00201E71">
      <w:pPr>
        <w:pStyle w:val="ListBullet2"/>
      </w:pPr>
      <w:r w:rsidRPr="00201E71">
        <w:t>dispose of excess paint in line with environmental protection practices</w:t>
      </w:r>
    </w:p>
    <w:p w:rsidR="00000000" w:rsidRPr="00201E71" w:rsidP="00201E71">
      <w:pPr>
        <w:pStyle w:val="ListBullet2"/>
      </w:pPr>
      <w:r w:rsidRPr="00201E71">
        <w:t>safely store unused paint</w:t>
      </w:r>
    </w:p>
    <w:p w:rsidR="00000000" w:rsidRPr="00201E71" w:rsidP="00201E71">
      <w:pPr>
        <w:pStyle w:val="ListBullet2"/>
      </w:pPr>
      <w:r w:rsidRPr="00201E71">
        <w:t>stack finished p</w:t>
      </w:r>
      <w:r w:rsidRPr="00201E71">
        <w:t>anels in storage location according to common size, thickness, length and coating.</w:t>
      </w:r>
    </w:p>
    <w:p w:rsidR="00000000" w:rsidRPr="00201E71" w:rsidP="00201E71">
      <w:pPr>
        <w:pStyle w:val="AllowPageBreak"/>
      </w:pPr>
    </w:p>
    <w:p w:rsidR="00000000" w:rsidRPr="00201E71" w:rsidP="00201E71">
      <w:pPr>
        <w:pStyle w:val="Heading1"/>
      </w:pPr>
      <w:bookmarkStart w:id="3" w:name="O_917037"/>
      <w:bookmarkEnd w:id="3"/>
      <w:r w:rsidRPr="00201E71">
        <w:t>Knowledge Evidence</w:t>
      </w:r>
    </w:p>
    <w:p w:rsidR="00000000" w:rsidRPr="00201E71" w:rsidP="0063100E">
      <w:pPr>
        <w:pStyle w:val="BodyText"/>
      </w:pPr>
      <w:r w:rsidRPr="00201E71">
        <w:t>A person competent in this unit must be able to demonstrate knowledge of:</w:t>
      </w:r>
    </w:p>
    <w:p w:rsidR="00000000" w:rsidRPr="00201E71" w:rsidP="00201E71">
      <w:pPr>
        <w:pStyle w:val="ListBullet"/>
      </w:pPr>
      <w:r w:rsidRPr="00201E71">
        <w:t>environmental protection practices for painting panels:</w:t>
      </w:r>
    </w:p>
    <w:p w:rsidR="00000000" w:rsidRPr="00201E71" w:rsidP="00201E71">
      <w:pPr>
        <w:pStyle w:val="ListBullet2"/>
      </w:pPr>
      <w:r w:rsidRPr="00201E71">
        <w:t>reduc</w:t>
      </w:r>
      <w:r w:rsidRPr="00201E71">
        <w:t>ing water and energy use</w:t>
      </w:r>
    </w:p>
    <w:p w:rsidR="00000000" w:rsidRPr="00201E71" w:rsidP="00201E71">
      <w:pPr>
        <w:pStyle w:val="ListBullet2"/>
      </w:pPr>
      <w:r w:rsidRPr="00201E71">
        <w:t>cleaning plant, tools and equipment</w:t>
      </w:r>
    </w:p>
    <w:p w:rsidR="00000000" w:rsidRPr="00201E71" w:rsidP="00201E71">
      <w:pPr>
        <w:pStyle w:val="ListBullet2"/>
      </w:pPr>
      <w:r w:rsidRPr="00201E71">
        <w:t>disposing of, recycling and reusing timber</w:t>
      </w:r>
    </w:p>
    <w:p w:rsidR="00000000" w:rsidRPr="00201E71" w:rsidP="00201E71">
      <w:pPr>
        <w:pStyle w:val="ListBullet2"/>
      </w:pPr>
      <w:r w:rsidRPr="00201E71">
        <w:t>disposing of hazardous substances</w:t>
      </w:r>
    </w:p>
    <w:p w:rsidR="00000000" w:rsidRPr="00201E71" w:rsidP="00201E71">
      <w:pPr>
        <w:pStyle w:val="ListBullet"/>
      </w:pPr>
      <w:r w:rsidRPr="00201E71">
        <w:t>storage layout and categories for:</w:t>
      </w:r>
    </w:p>
    <w:p w:rsidR="00000000" w:rsidRPr="00201E71" w:rsidP="00201E71">
      <w:pPr>
        <w:pStyle w:val="ListBullet2"/>
      </w:pPr>
      <w:r w:rsidRPr="00201E71">
        <w:t>raw materials</w:t>
      </w:r>
    </w:p>
    <w:p w:rsidR="00000000" w:rsidRPr="00201E71" w:rsidP="00201E71">
      <w:pPr>
        <w:pStyle w:val="ListBullet2"/>
      </w:pPr>
      <w:r w:rsidRPr="00201E71">
        <w:t>stacking finished panels</w:t>
      </w:r>
    </w:p>
    <w:p w:rsidR="00000000" w:rsidRPr="00201E71" w:rsidP="00201E71">
      <w:pPr>
        <w:pStyle w:val="ListBullet"/>
      </w:pPr>
      <w:r w:rsidRPr="00201E71">
        <w:t>characteristics of timber panels and the types of paint most suitable for application:</w:t>
      </w:r>
    </w:p>
    <w:p w:rsidR="00000000" w:rsidRPr="00201E71" w:rsidP="00201E71">
      <w:pPr>
        <w:pStyle w:val="ListBullet2"/>
      </w:pPr>
      <w:r w:rsidRPr="00201E71">
        <w:t>medium density fibreboard</w:t>
      </w:r>
    </w:p>
    <w:p w:rsidR="00000000" w:rsidRPr="00201E71" w:rsidP="00201E71">
      <w:pPr>
        <w:pStyle w:val="ListBullet2"/>
      </w:pPr>
      <w:r w:rsidRPr="00201E71">
        <w:t>chipboard</w:t>
      </w:r>
    </w:p>
    <w:p w:rsidR="00000000" w:rsidRPr="00201E71" w:rsidP="00201E71">
      <w:pPr>
        <w:pStyle w:val="ListBullet2"/>
      </w:pPr>
      <w:r w:rsidRPr="00201E71">
        <w:t>fibreboard</w:t>
      </w:r>
    </w:p>
    <w:p w:rsidR="00000000" w:rsidRPr="00201E71" w:rsidP="00201E71">
      <w:pPr>
        <w:pStyle w:val="ListBullet2"/>
      </w:pPr>
      <w:r w:rsidRPr="00201E71">
        <w:t>plywood</w:t>
      </w:r>
    </w:p>
    <w:p w:rsidR="00000000" w:rsidRPr="00201E71" w:rsidP="00201E71">
      <w:pPr>
        <w:pStyle w:val="ListBullet"/>
      </w:pPr>
      <w:r w:rsidRPr="00201E71">
        <w:t>properties, at a basic level of understanding, of paints:</w:t>
      </w:r>
    </w:p>
    <w:p w:rsidR="00000000" w:rsidRPr="00201E71" w:rsidP="00201E71">
      <w:pPr>
        <w:pStyle w:val="ListBullet2"/>
      </w:pPr>
      <w:r w:rsidRPr="00201E71">
        <w:t>water based</w:t>
      </w:r>
    </w:p>
    <w:p w:rsidR="00000000" w:rsidRPr="00201E71" w:rsidP="00201E71">
      <w:pPr>
        <w:pStyle w:val="ListBullet2"/>
      </w:pPr>
      <w:r w:rsidRPr="00201E71">
        <w:t>oil based</w:t>
      </w:r>
    </w:p>
    <w:p w:rsidR="00000000" w:rsidRPr="00201E71" w:rsidP="00201E71">
      <w:pPr>
        <w:pStyle w:val="ListBullet2"/>
      </w:pPr>
      <w:r w:rsidRPr="00201E71">
        <w:t>solvent based</w:t>
      </w:r>
    </w:p>
    <w:p w:rsidR="00000000" w:rsidRPr="00201E71" w:rsidP="00201E71">
      <w:pPr>
        <w:pStyle w:val="ListBullet"/>
      </w:pPr>
      <w:r w:rsidRPr="00201E71">
        <w:t xml:space="preserve">viscosity, film </w:t>
      </w:r>
      <w:r w:rsidRPr="00201E71">
        <w:t>thickness and film wetness of paints</w:t>
      </w:r>
    </w:p>
    <w:p w:rsidR="00000000" w:rsidRPr="00201E71" w:rsidP="00201E71">
      <w:pPr>
        <w:pStyle w:val="ListBullet"/>
      </w:pPr>
      <w:r w:rsidRPr="00201E71">
        <w:t>methods used to safely store paint</w:t>
      </w:r>
    </w:p>
    <w:p w:rsidR="00000000" w:rsidRPr="00201E71" w:rsidP="00201E71">
      <w:pPr>
        <w:pStyle w:val="ListBullet"/>
      </w:pPr>
      <w:r w:rsidRPr="00201E71">
        <w:t>typical work flow processes for painting panels</w:t>
      </w:r>
    </w:p>
    <w:p w:rsidR="00000000" w:rsidRPr="00201E71" w:rsidP="00201E71">
      <w:pPr>
        <w:pStyle w:val="ListBullet"/>
      </w:pPr>
      <w:r w:rsidRPr="00201E71">
        <w:t>purpose, features, operation, shut down and cleaning of painting equipment including:</w:t>
      </w:r>
    </w:p>
    <w:p w:rsidR="00000000" w:rsidRPr="00201E71" w:rsidP="00201E71">
      <w:pPr>
        <w:pStyle w:val="ListBullet"/>
      </w:pPr>
      <w:r w:rsidRPr="00201E71">
        <w:t>roller coating lines</w:t>
      </w:r>
    </w:p>
    <w:p w:rsidR="00000000" w:rsidRPr="00201E71" w:rsidP="00201E71">
      <w:pPr>
        <w:pStyle w:val="ListBullet"/>
      </w:pPr>
      <w:r w:rsidRPr="00201E71">
        <w:t>spray booths</w:t>
      </w:r>
    </w:p>
    <w:p w:rsidR="00000000" w:rsidRPr="00201E71" w:rsidP="00201E71">
      <w:pPr>
        <w:pStyle w:val="ListBullet"/>
      </w:pPr>
      <w:r w:rsidRPr="00201E71">
        <w:t>curtain coating lines</w:t>
      </w:r>
    </w:p>
    <w:p w:rsidR="00000000" w:rsidRPr="00201E71" w:rsidP="00201E71">
      <w:pPr>
        <w:pStyle w:val="ListBullet"/>
      </w:pPr>
      <w:r w:rsidRPr="00201E71">
        <w:t>trays</w:t>
      </w:r>
    </w:p>
    <w:p w:rsidR="00000000" w:rsidRPr="00201E71" w:rsidP="00201E71">
      <w:pPr>
        <w:pStyle w:val="ListBullet"/>
      </w:pPr>
      <w:r w:rsidRPr="00201E71">
        <w:t>overflow trays</w:t>
      </w:r>
    </w:p>
    <w:p w:rsidR="00000000" w:rsidRPr="00201E71" w:rsidP="00201E71">
      <w:pPr>
        <w:pStyle w:val="ListBullet"/>
      </w:pPr>
      <w:r w:rsidRPr="00201E71">
        <w:t>thinner reservoirs</w:t>
      </w:r>
    </w:p>
    <w:p w:rsidR="00000000" w:rsidRPr="00201E71" w:rsidP="00201E71">
      <w:pPr>
        <w:pStyle w:val="ListBullet"/>
      </w:pPr>
      <w:r w:rsidRPr="00201E71">
        <w:t>spray guns</w:t>
      </w:r>
    </w:p>
    <w:p w:rsidR="00000000" w:rsidRPr="00201E71" w:rsidP="00201E71">
      <w:pPr>
        <w:pStyle w:val="ListBullet"/>
      </w:pPr>
      <w:r w:rsidRPr="00201E71">
        <w:t>roller coaters</w:t>
      </w:r>
    </w:p>
    <w:p w:rsidR="00000000" w:rsidRPr="00201E71" w:rsidP="00201E71">
      <w:pPr>
        <w:pStyle w:val="ListBullet"/>
      </w:pPr>
      <w:r w:rsidRPr="00201E71">
        <w:t>range of appropriate paint flow rates to avoid equipment blockages and optimise quality and quantity of production output</w:t>
      </w:r>
    </w:p>
    <w:p w:rsidR="00000000" w:rsidRPr="00201E71" w:rsidP="00201E71">
      <w:pPr>
        <w:pStyle w:val="ListBullet"/>
      </w:pPr>
      <w:r w:rsidRPr="00201E71">
        <w:t xml:space="preserve">organisational procedures specific to surface </w:t>
      </w:r>
      <w:r w:rsidRPr="00201E71">
        <w:t>painting panels:</w:t>
      </w:r>
    </w:p>
    <w:p w:rsidR="00000000" w:rsidRPr="00201E71" w:rsidP="00201E71">
      <w:pPr>
        <w:pStyle w:val="ListBullet2"/>
      </w:pPr>
      <w:r w:rsidRPr="00201E71">
        <w:t>workplace health and safety with particular emphasis on equipment lock out, use of personal protective equipment and handling hazardous substances</w:t>
      </w:r>
    </w:p>
    <w:p w:rsidR="00000000" w:rsidRPr="00201E71" w:rsidP="00201E71">
      <w:pPr>
        <w:pStyle w:val="ListBullet2"/>
      </w:pPr>
      <w:r w:rsidRPr="00201E71">
        <w:t>communication reporting lines</w:t>
      </w:r>
    </w:p>
    <w:p w:rsidR="00000000" w:rsidRPr="00201E71" w:rsidP="00201E71">
      <w:pPr>
        <w:pStyle w:val="ListBullet2"/>
      </w:pPr>
      <w:r w:rsidRPr="00201E71">
        <w:t>recording and reporting production outcomes and equipment faults.</w:t>
      </w:r>
    </w:p>
    <w:p w:rsidR="00000000" w:rsidRPr="00201E71" w:rsidP="00201E71">
      <w:pPr>
        <w:pStyle w:val="AllowPageBreak"/>
      </w:pPr>
    </w:p>
    <w:p w:rsidR="00000000" w:rsidRPr="00201E71" w:rsidP="00201E71">
      <w:pPr>
        <w:pStyle w:val="Heading1"/>
      </w:pPr>
      <w:bookmarkStart w:id="4" w:name="O_917038"/>
      <w:bookmarkEnd w:id="4"/>
      <w:r w:rsidRPr="00201E71">
        <w:t>Assessment Conditions</w:t>
      </w:r>
    </w:p>
    <w:p w:rsidR="00000000" w:rsidRPr="00201E71" w:rsidP="0063100E">
      <w:pPr>
        <w:pStyle w:val="BodyText"/>
      </w:pPr>
      <w:r w:rsidRPr="00201E71">
        <w:t>The following resources must be made available:</w:t>
      </w:r>
    </w:p>
    <w:p w:rsidR="00000000" w:rsidRPr="00201E71" w:rsidP="00201E71">
      <w:pPr>
        <w:pStyle w:val="ListBullet"/>
      </w:pPr>
      <w:r w:rsidRPr="00201E71">
        <w:t>painting equipment which must include one or more of the following:</w:t>
      </w:r>
    </w:p>
    <w:p w:rsidR="00000000" w:rsidRPr="00201E71" w:rsidP="00201E71">
      <w:pPr>
        <w:pStyle w:val="ListBullet2"/>
      </w:pPr>
      <w:r w:rsidRPr="00201E71">
        <w:t>roller coating lines</w:t>
      </w:r>
    </w:p>
    <w:p w:rsidR="00000000" w:rsidRPr="00201E71" w:rsidP="00201E71">
      <w:pPr>
        <w:pStyle w:val="ListBullet2"/>
      </w:pPr>
      <w:r w:rsidRPr="00201E71">
        <w:t>spray booths</w:t>
      </w:r>
    </w:p>
    <w:p w:rsidR="00000000" w:rsidRPr="00201E71" w:rsidP="00201E71">
      <w:pPr>
        <w:pStyle w:val="ListBullet2"/>
      </w:pPr>
      <w:r w:rsidRPr="00201E71">
        <w:t>curtain coating lines</w:t>
      </w:r>
    </w:p>
    <w:p w:rsidR="00000000" w:rsidRPr="00201E71" w:rsidP="00201E71">
      <w:pPr>
        <w:pStyle w:val="ListBullet2"/>
      </w:pPr>
      <w:r w:rsidRPr="00201E71">
        <w:t>trays</w:t>
      </w:r>
    </w:p>
    <w:p w:rsidR="00000000" w:rsidRPr="00201E71" w:rsidP="00201E71">
      <w:pPr>
        <w:pStyle w:val="ListBullet2"/>
      </w:pPr>
      <w:r w:rsidRPr="00201E71">
        <w:t>overflow trays</w:t>
      </w:r>
    </w:p>
    <w:p w:rsidR="00000000" w:rsidRPr="00201E71" w:rsidP="00201E71">
      <w:pPr>
        <w:pStyle w:val="ListBullet2"/>
      </w:pPr>
      <w:r w:rsidRPr="00201E71">
        <w:t>thinner reservoirs</w:t>
      </w:r>
    </w:p>
    <w:p w:rsidR="00000000" w:rsidRPr="00201E71" w:rsidP="00201E71">
      <w:pPr>
        <w:pStyle w:val="ListBullet2"/>
      </w:pPr>
      <w:r w:rsidRPr="00201E71">
        <w:t>spray guns</w:t>
      </w:r>
    </w:p>
    <w:p w:rsidR="00000000" w:rsidRPr="00201E71" w:rsidP="00201E71">
      <w:pPr>
        <w:pStyle w:val="ListBullet2"/>
      </w:pPr>
      <w:r w:rsidRPr="00201E71">
        <w:t>roller coaters</w:t>
      </w:r>
    </w:p>
    <w:p w:rsidR="00000000" w:rsidRPr="00201E71" w:rsidP="00201E71">
      <w:pPr>
        <w:pStyle w:val="ListBullet"/>
      </w:pPr>
      <w:r w:rsidRPr="00201E71">
        <w:t>personal protective equipment suitable for painting panels</w:t>
      </w:r>
    </w:p>
    <w:p w:rsidR="00000000" w:rsidRPr="00201E71" w:rsidP="00201E71">
      <w:pPr>
        <w:pStyle w:val="ListBullet"/>
      </w:pPr>
      <w:r w:rsidRPr="00201E71">
        <w:t>panels which must include one or more of the following:</w:t>
      </w:r>
    </w:p>
    <w:p w:rsidR="00000000" w:rsidRPr="00201E71" w:rsidP="00201E71">
      <w:pPr>
        <w:pStyle w:val="ListBullet2"/>
      </w:pPr>
      <w:r w:rsidRPr="00201E71">
        <w:t>medium density fibreboard</w:t>
      </w:r>
    </w:p>
    <w:p w:rsidR="00000000" w:rsidRPr="00201E71" w:rsidP="00201E71">
      <w:pPr>
        <w:pStyle w:val="ListBullet2"/>
      </w:pPr>
      <w:r w:rsidRPr="00201E71">
        <w:t>chipboard</w:t>
      </w:r>
    </w:p>
    <w:p w:rsidR="00000000" w:rsidRPr="00201E71" w:rsidP="00201E71">
      <w:pPr>
        <w:pStyle w:val="ListBullet2"/>
      </w:pPr>
      <w:r w:rsidRPr="00201E71">
        <w:t>fibreboard</w:t>
      </w:r>
    </w:p>
    <w:p w:rsidR="00000000" w:rsidRPr="00201E71" w:rsidP="00201E71">
      <w:pPr>
        <w:pStyle w:val="ListBullet2"/>
      </w:pPr>
      <w:r w:rsidRPr="00201E71">
        <w:t>plywood</w:t>
      </w:r>
    </w:p>
    <w:p w:rsidR="00000000" w:rsidRPr="00201E71" w:rsidP="00201E71">
      <w:pPr>
        <w:pStyle w:val="ListBullet"/>
      </w:pPr>
      <w:r w:rsidRPr="00201E71">
        <w:t>paint which must include one or more of the following:</w:t>
      </w:r>
    </w:p>
    <w:p w:rsidR="00000000" w:rsidRPr="00201E71" w:rsidP="00201E71">
      <w:pPr>
        <w:pStyle w:val="ListBullet2"/>
      </w:pPr>
      <w:r w:rsidRPr="00201E71">
        <w:t>water based</w:t>
      </w:r>
    </w:p>
    <w:p w:rsidR="00000000" w:rsidRPr="00201E71" w:rsidP="00201E71">
      <w:pPr>
        <w:pStyle w:val="ListBullet2"/>
      </w:pPr>
      <w:r w:rsidRPr="00201E71">
        <w:t>oil based</w:t>
      </w:r>
    </w:p>
    <w:p w:rsidR="00000000" w:rsidRPr="00201E71" w:rsidP="00201E71">
      <w:pPr>
        <w:pStyle w:val="ListBullet2"/>
      </w:pPr>
      <w:r w:rsidRPr="00201E71">
        <w:t>solvent based</w:t>
      </w:r>
    </w:p>
    <w:p w:rsidR="00000000" w:rsidRPr="00201E71" w:rsidP="00201E71">
      <w:pPr>
        <w:pStyle w:val="ListBullet"/>
      </w:pPr>
      <w:r w:rsidRPr="00201E71">
        <w:t>manufacturers’:</w:t>
      </w:r>
    </w:p>
    <w:p w:rsidR="00000000" w:rsidRPr="00201E71" w:rsidP="00201E71">
      <w:pPr>
        <w:pStyle w:val="ListBullet2"/>
      </w:pPr>
      <w:r w:rsidRPr="00201E71">
        <w:t>safety data sheets for paint</w:t>
      </w:r>
    </w:p>
    <w:p w:rsidR="00000000" w:rsidRPr="00201E71" w:rsidP="00201E71">
      <w:pPr>
        <w:pStyle w:val="ListBullet2"/>
      </w:pPr>
      <w:r w:rsidRPr="00201E71">
        <w:t>instructions for equipment use</w:t>
      </w:r>
    </w:p>
    <w:p w:rsidR="00000000" w:rsidRPr="00201E71" w:rsidP="00201E71">
      <w:pPr>
        <w:pStyle w:val="ListBullet2"/>
      </w:pPr>
      <w:r w:rsidRPr="00201E71">
        <w:t>recommendations for cleaning equipment</w:t>
      </w:r>
    </w:p>
    <w:p w:rsidR="00000000" w:rsidRPr="00201E71" w:rsidP="00201E71">
      <w:pPr>
        <w:pStyle w:val="ListBullet"/>
      </w:pPr>
      <w:r w:rsidRPr="00201E71">
        <w:t>work order with specific instructions</w:t>
      </w:r>
      <w:r w:rsidRPr="00201E71">
        <w:t xml:space="preserve"> for painting panels</w:t>
      </w:r>
    </w:p>
    <w:p w:rsidR="00000000" w:rsidRPr="00201E71" w:rsidP="00201E71">
      <w:pPr>
        <w:pStyle w:val="ListBullet"/>
      </w:pPr>
      <w:r w:rsidRPr="00201E71">
        <w:t>template documents for recording production outcomes and equipment faults</w:t>
      </w:r>
    </w:p>
    <w:p w:rsidR="00000000" w:rsidRPr="00201E71" w:rsidP="00201E71">
      <w:pPr>
        <w:pStyle w:val="ListBullet"/>
      </w:pPr>
      <w:r w:rsidRPr="00201E71">
        <w:t>relevant personnel for the purposes of communicating information</w:t>
      </w:r>
    </w:p>
    <w:p w:rsidR="00000000" w:rsidRPr="00201E71" w:rsidP="00201E71">
      <w:pPr>
        <w:pStyle w:val="ListBullet"/>
      </w:pPr>
      <w:r w:rsidRPr="00201E71">
        <w:t>organisational procedures for painting panels.</w:t>
      </w:r>
    </w:p>
    <w:p w:rsidR="00000000" w:rsidRPr="00201E71" w:rsidP="0063100E">
      <w:pPr>
        <w:pStyle w:val="BodyText"/>
      </w:pPr>
      <w:r w:rsidRPr="00201E71">
        <w:t xml:space="preserve">Competency is to be assessed in the workplace or a simulated environment that accurately reflects performance in a real workplace setting. </w:t>
      </w:r>
    </w:p>
    <w:p w:rsidR="00000000" w:rsidRPr="00201E71" w:rsidP="0063100E">
      <w:pPr>
        <w:pStyle w:val="Heading3"/>
      </w:pPr>
      <w:r w:rsidRPr="00201E71">
        <w:rPr>
          <w:rStyle w:val="SpecialBold"/>
        </w:rPr>
        <w:t>Assessor requirements</w:t>
      </w:r>
    </w:p>
    <w:p w:rsidR="00000000" w:rsidRPr="00201E71" w:rsidP="0063100E">
      <w:pPr>
        <w:pStyle w:val="BodyText"/>
      </w:pPr>
      <w:r w:rsidRPr="00201E71">
        <w:t>Assessors must:</w:t>
      </w:r>
    </w:p>
    <w:p w:rsidR="00000000" w:rsidRPr="00201E71" w:rsidP="00201E71">
      <w:pPr>
        <w:pStyle w:val="ListBullet"/>
      </w:pPr>
      <w:r w:rsidRPr="00201E71">
        <w:t>hold the appropriate assessor competency standards as outlined in regulations</w:t>
      </w:r>
      <w:r w:rsidRPr="00201E71">
        <w:t>; and</w:t>
      </w:r>
    </w:p>
    <w:p w:rsidR="00000000" w:rsidRPr="00201E71" w:rsidP="00201E71">
      <w:pPr>
        <w:pStyle w:val="ListBullet"/>
      </w:pPr>
      <w:r w:rsidRPr="00201E71">
        <w:t>be able to demonstrate vocational competencies at least to the level being assessed; and</w:t>
      </w:r>
    </w:p>
    <w:p w:rsidR="00000000" w:rsidRPr="00201E71" w:rsidP="00201E71">
      <w:pPr>
        <w:pStyle w:val="ListBullet"/>
      </w:pPr>
      <w:r w:rsidRPr="00201E71">
        <w:t>be able to demonstrate how they are continuing to develop their VET knowledge and skills as well as maintaining their industry currency and assessor competence.</w:t>
      </w:r>
    </w:p>
    <w:p w:rsidR="00000000" w:rsidRPr="00201E71" w:rsidP="00201E71">
      <w:pPr>
        <w:pStyle w:val="AllowPageBreak"/>
      </w:pPr>
    </w:p>
    <w:p w:rsidR="00000000" w:rsidRPr="00201E71" w:rsidP="00201E71">
      <w:pPr>
        <w:pStyle w:val="Heading1"/>
      </w:pPr>
      <w:bookmarkStart w:id="5" w:name="O_917041"/>
      <w:bookmarkEnd w:id="5"/>
      <w:r w:rsidRPr="00201E71">
        <w:t>Links</w:t>
      </w:r>
    </w:p>
    <w:p w:rsidR="00000000" w:rsidRPr="00201E71" w:rsidP="0063100E">
      <w:pPr>
        <w:pStyle w:val="BodyText"/>
      </w:pPr>
      <w:r w:rsidRPr="00201E7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75D08">
        <w:rPr>
          <w:rStyle w:val="Hyperlink"/>
        </w:rPr>
        <w:t>https://vetnet.gov.au/Pages/TrainingDocs.aspx?q=0d96fe23-5747-4c01-9d6f-3509ff8d3d47</w:t>
      </w:r>
      <w:r>
        <w:fldChar w:fldCharType="end"/>
      </w:r>
    </w:p>
    <w:p w:rsidR="00000000" w:rsidRPr="00201E71" w:rsidP="00201E71"/>
    <w:sectPr w:rsidSect="00201E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71" w:rsidRPr="0063100E" w:rsidP="00631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0E" w:rsidP="00201E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00E" w:rsidP="00201E7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3100E" w:rsidP="00201E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E71" w:rsidRPr="0063100E" w:rsidP="006310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0E" w:rsidRPr="002D2AF8" w:rsidP="00201E71">
    <w:pPr>
      <w:pStyle w:val="Header"/>
      <w:framePr w:wrap="around"/>
    </w:pPr>
    <w:r>
      <w:fldChar w:fldCharType="begin"/>
    </w:r>
    <w:r>
      <w:instrText xml:space="preserve"> TITLE   \* MERGEFORMAT </w:instrText>
    </w:r>
    <w:r>
      <w:fldChar w:fldCharType="separate"/>
    </w:r>
    <w:r>
      <w:t>Assessment Requirements for FWPWPP3202 Paint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63100E" w:rsidP="00201E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AE8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E6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346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E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E71"/>
    <w:pPr>
      <w:spacing w:before="360" w:after="60"/>
      <w:outlineLvl w:val="0"/>
    </w:pPr>
    <w:rPr>
      <w:sz w:val="32"/>
    </w:rPr>
  </w:style>
  <w:style w:type="paragraph" w:styleId="Heading2">
    <w:name w:val="heading 2"/>
    <w:basedOn w:val="HeadingBase"/>
    <w:next w:val="BodyText"/>
    <w:link w:val="Heading2Char"/>
    <w:qFormat/>
    <w:rsid w:val="00201E71"/>
    <w:pPr>
      <w:keepLines/>
      <w:spacing w:before="240" w:after="120"/>
      <w:outlineLvl w:val="1"/>
    </w:pPr>
    <w:rPr>
      <w:sz w:val="28"/>
      <w:szCs w:val="40"/>
    </w:rPr>
  </w:style>
  <w:style w:type="paragraph" w:styleId="Heading3">
    <w:name w:val="heading 3"/>
    <w:basedOn w:val="HeadingBase"/>
    <w:next w:val="BodyText"/>
    <w:link w:val="Heading3Char"/>
    <w:qFormat/>
    <w:rsid w:val="00201E71"/>
    <w:pPr>
      <w:spacing w:before="180" w:after="120"/>
      <w:outlineLvl w:val="2"/>
    </w:pPr>
    <w:rPr>
      <w:spacing w:val="-10"/>
      <w:kern w:val="32"/>
    </w:rPr>
  </w:style>
  <w:style w:type="paragraph" w:styleId="Heading4">
    <w:name w:val="heading 4"/>
    <w:basedOn w:val="HeadingBase"/>
    <w:next w:val="BodyText"/>
    <w:link w:val="Heading4Char"/>
    <w:qFormat/>
    <w:rsid w:val="00201E71"/>
    <w:pPr>
      <w:spacing w:before="160" w:after="120"/>
      <w:outlineLvl w:val="3"/>
    </w:pPr>
    <w:rPr>
      <w:sz w:val="22"/>
    </w:rPr>
  </w:style>
  <w:style w:type="paragraph" w:styleId="Heading5">
    <w:name w:val="heading 5"/>
    <w:basedOn w:val="HeadingBase"/>
    <w:next w:val="Normal"/>
    <w:link w:val="Heading5Char"/>
    <w:qFormat/>
    <w:rsid w:val="00201E71"/>
    <w:pPr>
      <w:spacing w:before="80"/>
      <w:outlineLvl w:val="4"/>
    </w:pPr>
    <w:rPr>
      <w:color w:val="918585"/>
      <w:sz w:val="20"/>
    </w:rPr>
  </w:style>
  <w:style w:type="paragraph" w:styleId="Heading6">
    <w:name w:val="heading 6"/>
    <w:basedOn w:val="HeadingBase"/>
    <w:next w:val="Normal"/>
    <w:link w:val="Heading6Char"/>
    <w:qFormat/>
    <w:rsid w:val="00201E71"/>
    <w:pPr>
      <w:spacing w:before="60"/>
      <w:outlineLvl w:val="5"/>
    </w:pPr>
    <w:rPr>
      <w:color w:val="918585"/>
      <w:sz w:val="20"/>
    </w:rPr>
  </w:style>
  <w:style w:type="paragraph" w:styleId="Heading7">
    <w:name w:val="heading 7"/>
    <w:basedOn w:val="Normal"/>
    <w:next w:val="Normal"/>
    <w:link w:val="Heading7Char"/>
    <w:qFormat/>
    <w:rsid w:val="00201E71"/>
    <w:pPr>
      <w:ind w:left="720"/>
      <w:outlineLvl w:val="6"/>
    </w:pPr>
    <w:rPr>
      <w:i/>
    </w:rPr>
  </w:style>
  <w:style w:type="paragraph" w:styleId="Heading8">
    <w:name w:val="heading 8"/>
    <w:basedOn w:val="Normal"/>
    <w:next w:val="Normal"/>
    <w:link w:val="Heading8Char"/>
    <w:qFormat/>
    <w:rsid w:val="00201E71"/>
    <w:pPr>
      <w:ind w:left="720"/>
      <w:outlineLvl w:val="7"/>
    </w:pPr>
    <w:rPr>
      <w:i/>
    </w:rPr>
  </w:style>
  <w:style w:type="paragraph" w:styleId="Heading9">
    <w:name w:val="heading 9"/>
    <w:basedOn w:val="Normal"/>
    <w:next w:val="Normal"/>
    <w:link w:val="Heading9Char"/>
    <w:qFormat/>
    <w:rsid w:val="00201E71"/>
    <w:pPr>
      <w:ind w:left="720"/>
      <w:outlineLvl w:val="8"/>
    </w:pPr>
    <w:rPr>
      <w:i/>
    </w:rPr>
  </w:style>
  <w:style w:type="character" w:default="1" w:styleId="DefaultParagraphFont">
    <w:name w:val="Default Paragraph Font"/>
    <w:uiPriority w:val="1"/>
    <w:unhideWhenUsed/>
    <w:rsid w:val="00201E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E71"/>
  </w:style>
  <w:style w:type="character" w:customStyle="1" w:styleId="Heading1Char">
    <w:name w:val="Heading 1 Char"/>
    <w:basedOn w:val="DefaultParagraphFont"/>
    <w:link w:val="Heading1"/>
    <w:rsid w:val="00201E71"/>
    <w:rPr>
      <w:rFonts w:ascii="Times New Roman" w:eastAsia="Times New Roman" w:hAnsi="Times New Roman" w:cs="Times New Roman"/>
      <w:b/>
      <w:sz w:val="32"/>
      <w:szCs w:val="20"/>
      <w:lang w:eastAsia="en-US"/>
    </w:rPr>
  </w:style>
  <w:style w:type="paragraph" w:styleId="BodyText">
    <w:name w:val="Body Text"/>
    <w:basedOn w:val="Normal"/>
    <w:link w:val="BodyTextChar"/>
    <w:rsid w:val="00201E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E71"/>
    <w:rPr>
      <w:rFonts w:ascii="Times New Roman" w:eastAsia="Times New Roman" w:hAnsi="Times New Roman" w:cs="Times New Roman"/>
      <w:sz w:val="24"/>
      <w:lang w:eastAsia="en-US"/>
    </w:rPr>
  </w:style>
  <w:style w:type="paragraph" w:styleId="ListBullet">
    <w:name w:val="List Bullet"/>
    <w:basedOn w:val="List"/>
    <w:rsid w:val="00201E71"/>
    <w:pPr>
      <w:numPr>
        <w:numId w:val="12"/>
      </w:numPr>
      <w:tabs>
        <w:tab w:val="clear" w:pos="340"/>
      </w:tabs>
      <w:spacing w:before="40" w:after="40"/>
    </w:pPr>
  </w:style>
  <w:style w:type="character" w:customStyle="1" w:styleId="SpecialBold">
    <w:name w:val="Special Bold"/>
    <w:basedOn w:val="DefaultParagraphFont"/>
    <w:rsid w:val="00201E71"/>
    <w:rPr>
      <w:b/>
      <w:spacing w:val="0"/>
    </w:rPr>
  </w:style>
  <w:style w:type="paragraph" w:styleId="ListBullet2">
    <w:name w:val="List Bullet 2"/>
    <w:basedOn w:val="List2"/>
    <w:rsid w:val="00201E71"/>
    <w:pPr>
      <w:numPr>
        <w:numId w:val="13"/>
      </w:numPr>
      <w:tabs>
        <w:tab w:val="clear" w:pos="680"/>
      </w:tabs>
    </w:pPr>
  </w:style>
  <w:style w:type="paragraph" w:customStyle="1" w:styleId="SuperHeading">
    <w:name w:val="SuperHeading"/>
    <w:basedOn w:val="Normal"/>
    <w:rsid w:val="00201E71"/>
    <w:pPr>
      <w:spacing w:before="240" w:after="120"/>
      <w:outlineLvl w:val="0"/>
    </w:pPr>
    <w:rPr>
      <w:rFonts w:ascii="Times New Roman" w:hAnsi="Times New Roman"/>
      <w:b/>
      <w:sz w:val="32"/>
    </w:rPr>
  </w:style>
  <w:style w:type="paragraph" w:customStyle="1" w:styleId="AllowPageBreak">
    <w:name w:val="AllowPageBreak"/>
    <w:rsid w:val="00201E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E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E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E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E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E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E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E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E71"/>
    <w:rPr>
      <w:rFonts w:ascii="Courier New" w:eastAsia="Times New Roman" w:hAnsi="Courier New" w:cs="Times New Roman"/>
      <w:i/>
      <w:szCs w:val="20"/>
      <w:lang w:eastAsia="en-US"/>
    </w:rPr>
  </w:style>
  <w:style w:type="paragraph" w:customStyle="1" w:styleId="HeadingBase">
    <w:name w:val="Heading Base"/>
    <w:rsid w:val="00201E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E71"/>
    <w:pPr>
      <w:tabs>
        <w:tab w:val="right" w:leader="dot" w:pos="9072"/>
      </w:tabs>
      <w:ind w:left="567"/>
    </w:pPr>
    <w:rPr>
      <w:szCs w:val="22"/>
    </w:rPr>
  </w:style>
  <w:style w:type="paragraph" w:customStyle="1" w:styleId="TOCBase">
    <w:name w:val="TOC Base"/>
    <w:rsid w:val="00201E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E71"/>
    <w:pPr>
      <w:tabs>
        <w:tab w:val="right" w:leader="dot" w:pos="9072"/>
      </w:tabs>
      <w:spacing w:before="40" w:after="40"/>
      <w:ind w:left="284"/>
    </w:pPr>
    <w:rPr>
      <w:rFonts w:ascii="Times New Roman" w:hAnsi="Times New Roman"/>
    </w:rPr>
  </w:style>
  <w:style w:type="paragraph" w:styleId="TOC1">
    <w:name w:val="toc 1"/>
    <w:basedOn w:val="TOCBase"/>
    <w:next w:val="Normal"/>
    <w:rsid w:val="00201E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E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E71"/>
    <w:rPr>
      <w:rFonts w:ascii="Times New Roman" w:eastAsia="Times New Roman" w:hAnsi="Times New Roman" w:cs="Times New Roman"/>
      <w:sz w:val="16"/>
      <w:lang w:eastAsia="en-US"/>
    </w:rPr>
  </w:style>
  <w:style w:type="paragraph" w:styleId="Title">
    <w:name w:val="Title"/>
    <w:basedOn w:val="HeadingBase"/>
    <w:link w:val="TitleChar"/>
    <w:qFormat/>
    <w:rsid w:val="00201E71"/>
    <w:pPr>
      <w:spacing w:before="5040"/>
      <w:jc w:val="center"/>
    </w:pPr>
    <w:rPr>
      <w:sz w:val="48"/>
      <w:szCs w:val="72"/>
      <w:lang w:val="en-US"/>
    </w:rPr>
  </w:style>
  <w:style w:type="character" w:customStyle="1" w:styleId="TitleChar">
    <w:name w:val="Title Char"/>
    <w:basedOn w:val="DefaultParagraphFont"/>
    <w:link w:val="Title"/>
    <w:rsid w:val="00201E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E71"/>
    <w:pPr>
      <w:tabs>
        <w:tab w:val="left" w:pos="3600"/>
        <w:tab w:val="left" w:pos="3958"/>
      </w:tabs>
    </w:pPr>
  </w:style>
  <w:style w:type="paragraph" w:styleId="List">
    <w:name w:val="List"/>
    <w:basedOn w:val="BodyText"/>
    <w:next w:val="BodyText"/>
    <w:rsid w:val="00201E71"/>
    <w:pPr>
      <w:tabs>
        <w:tab w:val="left" w:pos="340"/>
      </w:tabs>
      <w:spacing w:before="60" w:after="60"/>
      <w:ind w:left="340" w:hanging="340"/>
    </w:pPr>
  </w:style>
  <w:style w:type="paragraph" w:customStyle="1" w:styleId="Note">
    <w:name w:val="Note"/>
    <w:basedOn w:val="BodyText"/>
    <w:rsid w:val="00201E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E71"/>
    <w:pPr>
      <w:framePr w:wrap="auto" w:hAnchor="text" w:y="6049"/>
    </w:pPr>
    <w:rPr>
      <w:color w:val="000000"/>
      <w:sz w:val="40"/>
    </w:rPr>
  </w:style>
  <w:style w:type="paragraph" w:customStyle="1" w:styleId="TOCTitle">
    <w:name w:val="TOCTitle"/>
    <w:basedOn w:val="Heading1"/>
    <w:rsid w:val="00201E71"/>
    <w:pPr>
      <w:spacing w:after="240"/>
      <w:jc w:val="center"/>
      <w:outlineLvl w:val="9"/>
    </w:pPr>
    <w:rPr>
      <w:caps/>
    </w:rPr>
  </w:style>
  <w:style w:type="paragraph" w:customStyle="1" w:styleId="Version">
    <w:name w:val="Version"/>
    <w:rsid w:val="00201E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E71"/>
    <w:pPr>
      <w:keepNext w:val="0"/>
      <w:tabs>
        <w:tab w:val="right" w:pos="4176"/>
      </w:tabs>
      <w:ind w:left="198" w:hanging="198"/>
    </w:pPr>
    <w:rPr>
      <w:rFonts w:ascii="Garamond" w:hAnsi="Garamond"/>
    </w:rPr>
  </w:style>
  <w:style w:type="paragraph" w:styleId="IndexHeading">
    <w:name w:val="index heading"/>
    <w:basedOn w:val="Normal"/>
    <w:next w:val="Index1"/>
    <w:semiHidden/>
    <w:rsid w:val="00201E71"/>
    <w:pPr>
      <w:spacing w:before="120" w:after="120"/>
    </w:pPr>
    <w:rPr>
      <w:rFonts w:ascii="Arial" w:hAnsi="Arial"/>
      <w:b/>
      <w:color w:val="918585"/>
      <w:sz w:val="24"/>
    </w:rPr>
  </w:style>
  <w:style w:type="paragraph" w:styleId="Header">
    <w:name w:val="header"/>
    <w:basedOn w:val="Normal"/>
    <w:link w:val="HeaderChar"/>
    <w:rsid w:val="00201E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E71"/>
    <w:rPr>
      <w:rFonts w:ascii="Times New Roman" w:eastAsia="Times New Roman" w:hAnsi="Times New Roman" w:cs="Times New Roman"/>
      <w:sz w:val="16"/>
      <w:szCs w:val="20"/>
      <w:lang w:val="en-GB" w:eastAsia="en-US"/>
    </w:rPr>
  </w:style>
  <w:style w:type="paragraph" w:customStyle="1" w:styleId="Chapter">
    <w:name w:val="Chapter"/>
    <w:basedOn w:val="Normal"/>
    <w:rsid w:val="00201E71"/>
    <w:pPr>
      <w:spacing w:before="240"/>
    </w:pPr>
    <w:rPr>
      <w:rFonts w:ascii="Times New Roman" w:hAnsi="Times New Roman"/>
      <w:smallCaps/>
      <w:spacing w:val="80"/>
      <w:sz w:val="28"/>
    </w:rPr>
  </w:style>
  <w:style w:type="paragraph" w:customStyle="1" w:styleId="InChapter">
    <w:name w:val="InChapter"/>
    <w:basedOn w:val="Heading3"/>
    <w:rsid w:val="00201E71"/>
    <w:pPr>
      <w:spacing w:after="240"/>
      <w:outlineLvl w:val="9"/>
    </w:pPr>
    <w:rPr>
      <w:noProof/>
    </w:rPr>
  </w:style>
  <w:style w:type="paragraph" w:styleId="Index2">
    <w:name w:val="index 2"/>
    <w:basedOn w:val="Normal"/>
    <w:next w:val="Normal"/>
    <w:semiHidden/>
    <w:rsid w:val="00201E71"/>
    <w:pPr>
      <w:tabs>
        <w:tab w:val="right" w:pos="4176"/>
      </w:tabs>
      <w:ind w:left="568" w:hanging="284"/>
    </w:pPr>
    <w:rPr>
      <w:rFonts w:ascii="Garamond" w:hAnsi="Garamond"/>
    </w:rPr>
  </w:style>
  <w:style w:type="paragraph" w:customStyle="1" w:styleId="Byline">
    <w:name w:val="Byline"/>
    <w:rsid w:val="00201E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E71"/>
    <w:pPr>
      <w:tabs>
        <w:tab w:val="clear" w:pos="3600"/>
        <w:tab w:val="clear" w:pos="3958"/>
      </w:tabs>
      <w:jc w:val="right"/>
    </w:pPr>
  </w:style>
  <w:style w:type="character" w:styleId="Emphasis">
    <w:name w:val="Emphasis"/>
    <w:basedOn w:val="DefaultParagraphFont"/>
    <w:qFormat/>
    <w:rsid w:val="00201E71"/>
    <w:rPr>
      <w:i/>
    </w:rPr>
  </w:style>
  <w:style w:type="paragraph" w:styleId="Caption">
    <w:name w:val="caption"/>
    <w:basedOn w:val="BodyText"/>
    <w:next w:val="Normal"/>
    <w:qFormat/>
    <w:rsid w:val="00201E71"/>
    <w:pPr>
      <w:framePr w:w="2268" w:hSpace="181" w:vSpace="181" w:wrap="around" w:vAnchor="text" w:hAnchor="page" w:x="1135" w:y="285" w:anchorLock="1"/>
    </w:pPr>
    <w:rPr>
      <w:i/>
    </w:rPr>
  </w:style>
  <w:style w:type="paragraph" w:customStyle="1" w:styleId="MiniTOCTitle">
    <w:name w:val="MiniTOCTitle"/>
    <w:basedOn w:val="Heading4"/>
    <w:rsid w:val="00201E71"/>
    <w:pPr>
      <w:spacing w:before="240"/>
      <w:outlineLvl w:val="9"/>
    </w:pPr>
    <w:rPr>
      <w:noProof/>
      <w:sz w:val="24"/>
    </w:rPr>
  </w:style>
  <w:style w:type="paragraph" w:customStyle="1" w:styleId="MiniTOCItem">
    <w:name w:val="MiniTOCItem"/>
    <w:basedOn w:val="ListBullet"/>
    <w:rsid w:val="00201E71"/>
    <w:pPr>
      <w:numPr>
        <w:numId w:val="0"/>
      </w:numPr>
      <w:tabs>
        <w:tab w:val="right" w:leader="dot" w:pos="6521"/>
      </w:tabs>
      <w:spacing w:before="0" w:after="0"/>
    </w:pPr>
  </w:style>
  <w:style w:type="paragraph" w:customStyle="1" w:styleId="TOFTitle">
    <w:name w:val="TOFTitle"/>
    <w:basedOn w:val="TOCTitle"/>
    <w:rsid w:val="00201E71"/>
  </w:style>
  <w:style w:type="paragraph" w:styleId="TableofFigures">
    <w:name w:val="table of figures"/>
    <w:basedOn w:val="Normal"/>
    <w:next w:val="Normal"/>
    <w:semiHidden/>
    <w:rsid w:val="00201E71"/>
    <w:pPr>
      <w:tabs>
        <w:tab w:val="right" w:leader="dot" w:pos="9072"/>
      </w:tabs>
      <w:ind w:left="970" w:hanging="403"/>
    </w:pPr>
    <w:rPr>
      <w:rFonts w:ascii="Times New Roman" w:hAnsi="Times New Roman"/>
      <w:b/>
    </w:rPr>
  </w:style>
  <w:style w:type="paragraph" w:styleId="ListNumber">
    <w:name w:val="List Number"/>
    <w:basedOn w:val="List"/>
    <w:rsid w:val="00201E71"/>
    <w:pPr>
      <w:numPr>
        <w:numId w:val="15"/>
      </w:numPr>
      <w:tabs>
        <w:tab w:val="clear" w:pos="340"/>
      </w:tabs>
    </w:pPr>
  </w:style>
  <w:style w:type="character" w:customStyle="1" w:styleId="WingdingSymbols">
    <w:name w:val="Wingding Symbols"/>
    <w:rsid w:val="00201E71"/>
    <w:rPr>
      <w:rFonts w:ascii="Wingdings" w:hAnsi="Wingdings"/>
    </w:rPr>
  </w:style>
  <w:style w:type="paragraph" w:customStyle="1" w:styleId="TableHeading">
    <w:name w:val="Table Heading"/>
    <w:basedOn w:val="HeadingBase"/>
    <w:rsid w:val="00201E71"/>
    <w:pPr>
      <w:keepLines/>
      <w:pBdr>
        <w:bottom w:val="single" w:sz="6" w:space="1" w:color="918585"/>
      </w:pBdr>
      <w:spacing w:before="240"/>
    </w:pPr>
  </w:style>
  <w:style w:type="character" w:customStyle="1" w:styleId="HotSpot">
    <w:name w:val="HotSpot"/>
    <w:rsid w:val="00201E71"/>
    <w:rPr>
      <w:color w:val="0033CC"/>
      <w:u w:val="none"/>
    </w:rPr>
  </w:style>
  <w:style w:type="paragraph" w:customStyle="1" w:styleId="BodyTextRight">
    <w:name w:val="Body Text Right"/>
    <w:basedOn w:val="BodyText"/>
    <w:rsid w:val="00201E71"/>
    <w:pPr>
      <w:spacing w:before="0" w:after="0"/>
      <w:jc w:val="right"/>
    </w:pPr>
  </w:style>
  <w:style w:type="paragraph" w:styleId="Index3">
    <w:name w:val="index 3"/>
    <w:basedOn w:val="ListNumber2"/>
    <w:next w:val="Normal"/>
    <w:semiHidden/>
    <w:rsid w:val="00201E71"/>
    <w:pPr>
      <w:numPr>
        <w:numId w:val="0"/>
      </w:numPr>
      <w:tabs>
        <w:tab w:val="right" w:leader="dot" w:pos="4176"/>
      </w:tabs>
    </w:pPr>
  </w:style>
  <w:style w:type="paragraph" w:styleId="ListNumber2">
    <w:name w:val="List Number 2"/>
    <w:basedOn w:val="List2"/>
    <w:rsid w:val="00201E71"/>
    <w:pPr>
      <w:numPr>
        <w:numId w:val="10"/>
      </w:numPr>
      <w:tabs>
        <w:tab w:val="clear" w:pos="1060"/>
      </w:tabs>
    </w:pPr>
  </w:style>
  <w:style w:type="paragraph" w:customStyle="1" w:styleId="MarginNote">
    <w:name w:val="Margin Note"/>
    <w:basedOn w:val="BodyText"/>
    <w:rsid w:val="00201E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E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E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E71"/>
    <w:rPr>
      <w:sz w:val="32"/>
    </w:rPr>
  </w:style>
  <w:style w:type="paragraph" w:customStyle="1" w:styleId="HeadingProcedure">
    <w:name w:val="Heading Procedure"/>
    <w:basedOn w:val="HeadingBase"/>
    <w:next w:val="Normal"/>
    <w:rsid w:val="00201E71"/>
    <w:pPr>
      <w:tabs>
        <w:tab w:val="left" w:pos="0"/>
      </w:tabs>
      <w:spacing w:before="120" w:after="60"/>
    </w:pPr>
    <w:rPr>
      <w:i/>
      <w:color w:val="918585"/>
      <w:sz w:val="22"/>
    </w:rPr>
  </w:style>
  <w:style w:type="paragraph" w:customStyle="1" w:styleId="TableBodyText">
    <w:name w:val="Table Body Text"/>
    <w:basedOn w:val="BodyText"/>
    <w:rsid w:val="00201E71"/>
    <w:pPr>
      <w:spacing w:before="60" w:after="60"/>
    </w:pPr>
  </w:style>
  <w:style w:type="paragraph" w:styleId="ListContinue">
    <w:name w:val="List Continue"/>
    <w:basedOn w:val="List"/>
    <w:rsid w:val="00201E71"/>
    <w:pPr>
      <w:ind w:firstLine="0"/>
    </w:pPr>
  </w:style>
  <w:style w:type="paragraph" w:customStyle="1" w:styleId="ListNote">
    <w:name w:val="List Note"/>
    <w:basedOn w:val="List"/>
    <w:rsid w:val="00201E71"/>
    <w:pPr>
      <w:pBdr>
        <w:top w:val="single" w:sz="6" w:space="2" w:color="918585"/>
        <w:bottom w:val="single" w:sz="6" w:space="2" w:color="918585"/>
      </w:pBdr>
      <w:tabs>
        <w:tab w:val="left" w:pos="1021"/>
      </w:tabs>
      <w:ind w:firstLine="0"/>
    </w:pPr>
  </w:style>
  <w:style w:type="paragraph" w:customStyle="1" w:styleId="Warning">
    <w:name w:val="Warning"/>
    <w:basedOn w:val="BodyText"/>
    <w:rsid w:val="00201E71"/>
    <w:pPr>
      <w:shd w:val="clear" w:color="auto" w:fill="D9D9D9"/>
      <w:tabs>
        <w:tab w:val="left" w:pos="992"/>
      </w:tabs>
      <w:ind w:left="119" w:right="119"/>
    </w:pPr>
    <w:rPr>
      <w:sz w:val="20"/>
    </w:rPr>
  </w:style>
  <w:style w:type="paragraph" w:customStyle="1" w:styleId="MarginIcons">
    <w:name w:val="Margin Icons"/>
    <w:basedOn w:val="BodyText"/>
    <w:rsid w:val="00201E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E71"/>
    <w:rPr>
      <w:rFonts w:ascii="Courier New" w:hAnsi="Courier New"/>
    </w:rPr>
  </w:style>
  <w:style w:type="paragraph" w:customStyle="1" w:styleId="NoteBullet">
    <w:name w:val="Note Bullet"/>
    <w:basedOn w:val="Note"/>
    <w:rsid w:val="00201E71"/>
    <w:pPr>
      <w:tabs>
        <w:tab w:val="clear" w:pos="680"/>
      </w:tabs>
      <w:spacing w:before="60" w:after="60"/>
    </w:pPr>
  </w:style>
  <w:style w:type="paragraph" w:customStyle="1" w:styleId="SubHeading2">
    <w:name w:val="SubHeading2"/>
    <w:basedOn w:val="HeadingBase"/>
    <w:rsid w:val="00201E71"/>
    <w:pPr>
      <w:spacing w:before="240" w:after="60"/>
    </w:pPr>
    <w:rPr>
      <w:sz w:val="20"/>
    </w:rPr>
  </w:style>
  <w:style w:type="paragraph" w:customStyle="1" w:styleId="SubHeading1">
    <w:name w:val="SubHeading1"/>
    <w:basedOn w:val="HeadingBase"/>
    <w:rsid w:val="00201E71"/>
    <w:pPr>
      <w:spacing w:before="240" w:after="60"/>
    </w:pPr>
    <w:rPr>
      <w:color w:val="918585"/>
      <w:sz w:val="22"/>
    </w:rPr>
  </w:style>
  <w:style w:type="paragraph" w:customStyle="1" w:styleId="SideHeading">
    <w:name w:val="Side Heading"/>
    <w:basedOn w:val="HeadingBase"/>
    <w:rsid w:val="00201E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E71"/>
    <w:pPr>
      <w:tabs>
        <w:tab w:val="num" w:pos="360"/>
      </w:tabs>
    </w:pPr>
  </w:style>
  <w:style w:type="paragraph" w:styleId="PlainText">
    <w:name w:val="Plain Text"/>
    <w:basedOn w:val="Normal"/>
    <w:link w:val="PlainTextChar"/>
    <w:rsid w:val="00201E71"/>
    <w:rPr>
      <w:sz w:val="20"/>
    </w:rPr>
  </w:style>
  <w:style w:type="character" w:customStyle="1" w:styleId="PlainTextChar">
    <w:name w:val="Plain Text Char"/>
    <w:basedOn w:val="DefaultParagraphFont"/>
    <w:link w:val="PlainText"/>
    <w:rsid w:val="00201E71"/>
    <w:rPr>
      <w:rFonts w:ascii="Courier New" w:eastAsia="Times New Roman" w:hAnsi="Courier New" w:cs="Times New Roman"/>
      <w:sz w:val="20"/>
      <w:szCs w:val="20"/>
      <w:lang w:eastAsia="en-US"/>
    </w:rPr>
  </w:style>
  <w:style w:type="character" w:customStyle="1" w:styleId="MenuOption">
    <w:name w:val="Menu Option"/>
    <w:basedOn w:val="DefaultParagraphFont"/>
    <w:rsid w:val="00201E71"/>
    <w:rPr>
      <w:b/>
      <w:smallCaps/>
    </w:rPr>
  </w:style>
  <w:style w:type="paragraph" w:customStyle="1" w:styleId="TableListNumber">
    <w:name w:val="Table List Number"/>
    <w:basedOn w:val="ListNumber"/>
    <w:rsid w:val="00201E71"/>
    <w:pPr>
      <w:numPr>
        <w:numId w:val="0"/>
      </w:numPr>
    </w:pPr>
  </w:style>
  <w:style w:type="paragraph" w:styleId="TOC4">
    <w:name w:val="toc 4"/>
    <w:basedOn w:val="TOCBase"/>
    <w:next w:val="Normal"/>
    <w:semiHidden/>
    <w:rsid w:val="00201E71"/>
    <w:pPr>
      <w:tabs>
        <w:tab w:val="right" w:leader="dot" w:pos="9071"/>
      </w:tabs>
      <w:ind w:left="1701"/>
    </w:pPr>
  </w:style>
  <w:style w:type="paragraph" w:customStyle="1" w:styleId="ListAlpha">
    <w:name w:val="List Alpha"/>
    <w:basedOn w:val="List"/>
    <w:rsid w:val="00201E71"/>
    <w:pPr>
      <w:numPr>
        <w:numId w:val="9"/>
      </w:numPr>
    </w:pPr>
  </w:style>
  <w:style w:type="paragraph" w:customStyle="1" w:styleId="ListAlpha2">
    <w:name w:val="List Alpha 2"/>
    <w:basedOn w:val="List2"/>
    <w:rsid w:val="00201E71"/>
    <w:pPr>
      <w:numPr>
        <w:numId w:val="8"/>
      </w:numPr>
    </w:pPr>
  </w:style>
  <w:style w:type="paragraph" w:styleId="List2">
    <w:name w:val="List 2"/>
    <w:basedOn w:val="BodyText"/>
    <w:rsid w:val="00201E71"/>
    <w:pPr>
      <w:tabs>
        <w:tab w:val="left" w:pos="680"/>
      </w:tabs>
      <w:spacing w:before="60" w:after="60"/>
      <w:ind w:left="680" w:hanging="340"/>
    </w:pPr>
  </w:style>
  <w:style w:type="paragraph" w:styleId="List3">
    <w:name w:val="List 3"/>
    <w:basedOn w:val="BodyText"/>
    <w:rsid w:val="00201E71"/>
    <w:pPr>
      <w:tabs>
        <w:tab w:val="left" w:pos="1021"/>
      </w:tabs>
      <w:spacing w:before="60" w:after="60"/>
      <w:ind w:left="1020" w:hanging="340"/>
    </w:pPr>
  </w:style>
  <w:style w:type="paragraph" w:styleId="List4">
    <w:name w:val="List 4"/>
    <w:basedOn w:val="BodyText"/>
    <w:rsid w:val="00201E71"/>
    <w:pPr>
      <w:tabs>
        <w:tab w:val="left" w:pos="1361"/>
      </w:tabs>
      <w:spacing w:before="60" w:after="60"/>
      <w:ind w:left="1361" w:hanging="340"/>
    </w:pPr>
  </w:style>
  <w:style w:type="paragraph" w:styleId="List5">
    <w:name w:val="List 5"/>
    <w:basedOn w:val="BodyText"/>
    <w:rsid w:val="00201E71"/>
    <w:pPr>
      <w:tabs>
        <w:tab w:val="left" w:pos="1701"/>
      </w:tabs>
      <w:spacing w:before="60" w:after="60"/>
      <w:ind w:left="1701" w:hanging="340"/>
    </w:pPr>
  </w:style>
  <w:style w:type="paragraph" w:styleId="ListBullet3">
    <w:name w:val="List Bullet 3"/>
    <w:basedOn w:val="List3"/>
    <w:rsid w:val="00201E71"/>
    <w:pPr>
      <w:numPr>
        <w:numId w:val="14"/>
      </w:numPr>
      <w:tabs>
        <w:tab w:val="clear" w:pos="1021"/>
      </w:tabs>
      <w:ind w:left="1037" w:hanging="357"/>
    </w:pPr>
  </w:style>
  <w:style w:type="paragraph" w:styleId="ListBullet4">
    <w:name w:val="List Bullet 4"/>
    <w:basedOn w:val="List4"/>
    <w:rsid w:val="00201E71"/>
    <w:pPr>
      <w:numPr>
        <w:numId w:val="3"/>
      </w:numPr>
      <w:tabs>
        <w:tab w:val="clear" w:pos="1361"/>
      </w:tabs>
    </w:pPr>
  </w:style>
  <w:style w:type="paragraph" w:styleId="ListBullet5">
    <w:name w:val="List Bullet 5"/>
    <w:basedOn w:val="List5"/>
    <w:rsid w:val="00201E71"/>
    <w:pPr>
      <w:numPr>
        <w:numId w:val="4"/>
      </w:numPr>
    </w:pPr>
  </w:style>
  <w:style w:type="paragraph" w:styleId="ListContinue2">
    <w:name w:val="List Continue 2"/>
    <w:basedOn w:val="List2"/>
    <w:rsid w:val="00201E71"/>
    <w:pPr>
      <w:ind w:firstLine="0"/>
    </w:pPr>
  </w:style>
  <w:style w:type="paragraph" w:styleId="ListContinue3">
    <w:name w:val="List Continue 3"/>
    <w:basedOn w:val="List3"/>
    <w:rsid w:val="00201E71"/>
    <w:pPr>
      <w:ind w:left="1021" w:firstLine="0"/>
    </w:pPr>
  </w:style>
  <w:style w:type="paragraph" w:styleId="ListContinue4">
    <w:name w:val="List Continue 4"/>
    <w:basedOn w:val="List4"/>
    <w:rsid w:val="00201E71"/>
    <w:pPr>
      <w:ind w:firstLine="0"/>
    </w:pPr>
  </w:style>
  <w:style w:type="paragraph" w:styleId="ListContinue5">
    <w:name w:val="List Continue 5"/>
    <w:basedOn w:val="List5"/>
    <w:rsid w:val="00201E71"/>
    <w:pPr>
      <w:ind w:firstLine="0"/>
    </w:pPr>
  </w:style>
  <w:style w:type="paragraph" w:styleId="ListNumber3">
    <w:name w:val="List Number 3"/>
    <w:basedOn w:val="List3"/>
    <w:rsid w:val="00201E71"/>
    <w:pPr>
      <w:numPr>
        <w:numId w:val="5"/>
      </w:numPr>
    </w:pPr>
  </w:style>
  <w:style w:type="paragraph" w:styleId="ListNumber4">
    <w:name w:val="List Number 4"/>
    <w:basedOn w:val="List4"/>
    <w:rsid w:val="00201E71"/>
    <w:pPr>
      <w:numPr>
        <w:numId w:val="6"/>
      </w:numPr>
    </w:pPr>
  </w:style>
  <w:style w:type="paragraph" w:styleId="ListNumber5">
    <w:name w:val="List Number 5"/>
    <w:basedOn w:val="List5"/>
    <w:rsid w:val="00201E71"/>
    <w:pPr>
      <w:numPr>
        <w:numId w:val="7"/>
      </w:numPr>
    </w:pPr>
  </w:style>
  <w:style w:type="paragraph" w:styleId="BlockText">
    <w:name w:val="Block Text"/>
    <w:basedOn w:val="Normal"/>
    <w:rsid w:val="00201E71"/>
    <w:pPr>
      <w:spacing w:after="120"/>
      <w:ind w:left="1440" w:right="1440"/>
    </w:pPr>
  </w:style>
  <w:style w:type="character" w:customStyle="1" w:styleId="Subscript">
    <w:name w:val="Subscript"/>
    <w:basedOn w:val="DefaultParagraphFont"/>
    <w:rsid w:val="00201E71"/>
    <w:rPr>
      <w:sz w:val="16"/>
      <w:vertAlign w:val="subscript"/>
    </w:rPr>
  </w:style>
  <w:style w:type="character" w:customStyle="1" w:styleId="Superscript">
    <w:name w:val="Superscript"/>
    <w:basedOn w:val="DefaultParagraphFont"/>
    <w:rsid w:val="00201E71"/>
    <w:rPr>
      <w:sz w:val="16"/>
      <w:vertAlign w:val="superscript"/>
    </w:rPr>
  </w:style>
  <w:style w:type="character" w:customStyle="1" w:styleId="Symbols">
    <w:name w:val="Symbols"/>
    <w:basedOn w:val="DefaultParagraphFont"/>
    <w:rsid w:val="00201E71"/>
    <w:rPr>
      <w:rFonts w:ascii="Symbol" w:hAnsi="Symbol"/>
    </w:rPr>
  </w:style>
  <w:style w:type="character" w:customStyle="1" w:styleId="MenuOptions">
    <w:name w:val="Menu Options"/>
    <w:basedOn w:val="DefaultParagraphFont"/>
    <w:rsid w:val="00201E71"/>
    <w:rPr>
      <w:rFonts w:ascii="Arial Narrow" w:hAnsi="Arial Narrow"/>
      <w:smallCaps/>
    </w:rPr>
  </w:style>
  <w:style w:type="character" w:customStyle="1" w:styleId="Buttons">
    <w:name w:val="Buttons"/>
    <w:basedOn w:val="DefaultParagraphFont"/>
    <w:rsid w:val="00201E71"/>
    <w:rPr>
      <w:b/>
    </w:rPr>
  </w:style>
  <w:style w:type="character" w:customStyle="1" w:styleId="Underlined">
    <w:name w:val="Underlined"/>
    <w:basedOn w:val="DefaultParagraphFont"/>
    <w:rsid w:val="00201E71"/>
    <w:rPr>
      <w:u w:val="single"/>
    </w:rPr>
  </w:style>
  <w:style w:type="paragraph" w:customStyle="1" w:styleId="TableBodyTextRight">
    <w:name w:val="Table Body Text Right"/>
    <w:basedOn w:val="TableBodyText"/>
    <w:rsid w:val="00201E71"/>
    <w:pPr>
      <w:widowControl w:val="0"/>
      <w:autoSpaceDE w:val="0"/>
      <w:autoSpaceDN w:val="0"/>
      <w:adjustRightInd w:val="0"/>
      <w:jc w:val="right"/>
    </w:pPr>
    <w:rPr>
      <w:rFonts w:cs="Arial"/>
      <w:szCs w:val="18"/>
    </w:rPr>
  </w:style>
  <w:style w:type="paragraph" w:customStyle="1" w:styleId="CopyrightText">
    <w:name w:val="Copyright Text"/>
    <w:basedOn w:val="BodyText"/>
    <w:rsid w:val="00201E71"/>
    <w:rPr>
      <w:sz w:val="18"/>
    </w:rPr>
  </w:style>
  <w:style w:type="paragraph" w:customStyle="1" w:styleId="BodySmallRight">
    <w:name w:val="Body Small Right"/>
    <w:basedOn w:val="BodyTextRight"/>
    <w:rsid w:val="00201E71"/>
    <w:rPr>
      <w:sz w:val="18"/>
      <w:szCs w:val="18"/>
    </w:rPr>
  </w:style>
  <w:style w:type="paragraph" w:customStyle="1" w:styleId="MarginEdition">
    <w:name w:val="Margin Edition"/>
    <w:basedOn w:val="MarginNote"/>
    <w:rsid w:val="00201E71"/>
    <w:pPr>
      <w:spacing w:before="0" w:after="0"/>
    </w:pPr>
    <w:rPr>
      <w:rFonts w:ascii="Times New Roman" w:hAnsi="Times New Roman"/>
      <w:color w:val="999999"/>
    </w:rPr>
  </w:style>
  <w:style w:type="paragraph" w:customStyle="1" w:styleId="Spacer">
    <w:name w:val="Spacer"/>
    <w:basedOn w:val="Normal"/>
    <w:rsid w:val="00201E71"/>
    <w:rPr>
      <w:sz w:val="2"/>
      <w:szCs w:val="2"/>
    </w:rPr>
  </w:style>
  <w:style w:type="character" w:customStyle="1" w:styleId="Small">
    <w:name w:val="Small"/>
    <w:basedOn w:val="DefaultParagraphFont"/>
    <w:rsid w:val="00201E71"/>
    <w:rPr>
      <w:sz w:val="16"/>
    </w:rPr>
  </w:style>
  <w:style w:type="paragraph" w:customStyle="1" w:styleId="WideTable">
    <w:name w:val="Wide Table"/>
    <w:basedOn w:val="Normal"/>
    <w:rsid w:val="00201E71"/>
    <w:pPr>
      <w:ind w:left="-1418"/>
    </w:pPr>
    <w:rPr>
      <w:sz w:val="2"/>
      <w:szCs w:val="2"/>
    </w:rPr>
  </w:style>
  <w:style w:type="character" w:styleId="PageNumber">
    <w:name w:val="page number"/>
    <w:basedOn w:val="DefaultParagraphFont"/>
    <w:rsid w:val="00201E71"/>
  </w:style>
  <w:style w:type="paragraph" w:styleId="Quote">
    <w:name w:val="Quote"/>
    <w:basedOn w:val="Heading1"/>
    <w:link w:val="QuoteChar"/>
    <w:qFormat/>
    <w:rsid w:val="00201E71"/>
    <w:rPr>
      <w:b w:val="0"/>
      <w:sz w:val="72"/>
      <w:szCs w:val="72"/>
      <w:lang w:val="en-NZ"/>
    </w:rPr>
  </w:style>
  <w:style w:type="character" w:customStyle="1" w:styleId="QuoteChar">
    <w:name w:val="Quote Char"/>
    <w:basedOn w:val="DefaultParagraphFont"/>
    <w:link w:val="Quote"/>
    <w:rsid w:val="00201E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E71"/>
    <w:pPr>
      <w:pageBreakBefore/>
    </w:pPr>
  </w:style>
  <w:style w:type="paragraph" w:customStyle="1" w:styleId="Border">
    <w:name w:val="Border"/>
    <w:basedOn w:val="Normal"/>
    <w:qFormat/>
    <w:rsid w:val="00201E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E71"/>
    <w:rPr>
      <w:b/>
      <w:bCs/>
      <w:i/>
      <w:iCs/>
      <w:color w:val="auto"/>
    </w:rPr>
  </w:style>
  <w:style w:type="paragraph" w:styleId="IntenseQuote">
    <w:name w:val="Intense Quote"/>
    <w:basedOn w:val="Normal"/>
    <w:next w:val="Normal"/>
    <w:link w:val="IntenseQuoteChar"/>
    <w:uiPriority w:val="30"/>
    <w:qFormat/>
    <w:rsid w:val="00201E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E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E71"/>
    <w:rPr>
      <w:smallCaps/>
      <w:color w:val="auto"/>
      <w:u w:val="single"/>
    </w:rPr>
  </w:style>
  <w:style w:type="character" w:styleId="IntenseReference">
    <w:name w:val="Intense Reference"/>
    <w:basedOn w:val="DefaultParagraphFont"/>
    <w:uiPriority w:val="32"/>
    <w:qFormat/>
    <w:rsid w:val="00201E71"/>
    <w:rPr>
      <w:b/>
      <w:bCs/>
      <w:smallCaps/>
      <w:color w:val="auto"/>
      <w:spacing w:val="5"/>
      <w:u w:val="single"/>
    </w:rPr>
  </w:style>
  <w:style w:type="paragraph" w:customStyle="1" w:styleId="2ColumnHeading">
    <w:name w:val="2Column Heading"/>
    <w:basedOn w:val="BodyText"/>
    <w:qFormat/>
    <w:rsid w:val="00201E71"/>
    <w:pPr>
      <w:spacing w:after="60"/>
      <w:ind w:left="-2268"/>
    </w:pPr>
    <w:rPr>
      <w:b/>
    </w:rPr>
  </w:style>
  <w:style w:type="paragraph" w:customStyle="1" w:styleId="Heading1TOC">
    <w:name w:val="Heading1 TOC"/>
    <w:basedOn w:val="Normal"/>
    <w:qFormat/>
    <w:rsid w:val="00201E71"/>
    <w:pPr>
      <w:spacing w:before="240" w:after="120"/>
    </w:pPr>
    <w:rPr>
      <w:rFonts w:ascii="Times New Roman" w:hAnsi="Times New Roman"/>
      <w:b/>
      <w:sz w:val="32"/>
    </w:rPr>
  </w:style>
  <w:style w:type="paragraph" w:customStyle="1" w:styleId="Heading2TOC">
    <w:name w:val="Heading2 TOC"/>
    <w:basedOn w:val="Normal"/>
    <w:qFormat/>
    <w:rsid w:val="00201E71"/>
    <w:pPr>
      <w:spacing w:before="240" w:after="60"/>
    </w:pPr>
    <w:rPr>
      <w:rFonts w:ascii="Times New Roman" w:hAnsi="Times New Roman"/>
      <w:b/>
      <w:sz w:val="28"/>
    </w:rPr>
  </w:style>
  <w:style w:type="character" w:customStyle="1" w:styleId="Underline">
    <w:name w:val="Underline"/>
    <w:basedOn w:val="DefaultParagraphFont"/>
    <w:qFormat/>
    <w:rsid w:val="00201E71"/>
    <w:rPr>
      <w:u w:val="single"/>
    </w:rPr>
  </w:style>
  <w:style w:type="character" w:customStyle="1" w:styleId="BoldandItalics">
    <w:name w:val="Bold and Italics"/>
    <w:qFormat/>
    <w:rsid w:val="00201E71"/>
    <w:rPr>
      <w:b/>
      <w:i/>
      <w:u w:val="none"/>
    </w:rPr>
  </w:style>
  <w:style w:type="paragraph" w:styleId="BalloonText">
    <w:name w:val="Balloon Text"/>
    <w:basedOn w:val="Normal"/>
    <w:link w:val="BalloonTextChar"/>
    <w:rsid w:val="00201E71"/>
    <w:rPr>
      <w:rFonts w:ascii="Tahoma" w:hAnsi="Tahoma" w:cs="Tahoma"/>
      <w:sz w:val="16"/>
      <w:szCs w:val="16"/>
    </w:rPr>
  </w:style>
  <w:style w:type="character" w:customStyle="1" w:styleId="BalloonTextChar">
    <w:name w:val="Balloon Text Char"/>
    <w:basedOn w:val="DefaultParagraphFont"/>
    <w:link w:val="BalloonText"/>
    <w:rsid w:val="00201E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E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E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E71"/>
    <w:rPr>
      <w:b/>
      <w:color w:val="660033"/>
      <w:spacing w:val="0"/>
    </w:rPr>
  </w:style>
  <w:style w:type="paragraph" w:customStyle="1" w:styleId="Nameditemlist">
    <w:name w:val="Named item list"/>
    <w:basedOn w:val="BodyText"/>
    <w:qFormat/>
    <w:rsid w:val="00201E71"/>
    <w:pPr>
      <w:tabs>
        <w:tab w:val="left" w:pos="2835"/>
      </w:tabs>
      <w:ind w:left="2835" w:hanging="2835"/>
    </w:pPr>
  </w:style>
  <w:style w:type="paragraph" w:customStyle="1" w:styleId="BodyTextnopadding">
    <w:name w:val="Body Text no padding"/>
    <w:basedOn w:val="BodyText"/>
    <w:qFormat/>
    <w:rsid w:val="00201E71"/>
    <w:pPr>
      <w:spacing w:before="0" w:after="0"/>
    </w:pPr>
  </w:style>
  <w:style w:type="paragraph" w:customStyle="1" w:styleId="BodyTextBold">
    <w:name w:val="Body Text Bold"/>
    <w:basedOn w:val="BodyText"/>
    <w:qFormat/>
    <w:rsid w:val="00201E71"/>
    <w:rPr>
      <w:b/>
    </w:rPr>
  </w:style>
  <w:style w:type="character" w:styleId="Hyperlink">
    <w:name w:val="Hyperlink"/>
    <w:basedOn w:val="DefaultParagraphFont"/>
    <w:uiPriority w:val="99"/>
    <w:unhideWhenUsed/>
    <w:rsid w:val="006310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3919</Characters>
  <Application>Microsoft Office Word</Application>
  <DocSecurity>0</DocSecurity>
  <Lines>118</Lines>
  <Paragraphs>110</Paragraphs>
  <ScaleCrop>false</ScaleCrop>
  <Company>Author-it Software Corporation Ltd.</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FWPWPP3202 Paint panels</dc:title>
  <dc:subject>Approved</dc:subject>
  <dc:creator>Skills Impact</dc:creator>
  <cp:keywords>Release: 1</cp:keywords>
  <dc:description>Review Date: 12 April 2008</dc:description>
  <cp:lastModifiedBy>HSD_TPCMSd.prod</cp:lastModifiedBy>
  <cp:revision>3</cp:revision>
  <dcterms:created xsi:type="dcterms:W3CDTF">2020-12-04T01:08:00Z</dcterms:created>
  <dcterms:modified xsi:type="dcterms:W3CDTF">2020-12-04T01:08:00Z</dcterms:modified>
</cp:coreProperties>
</file>