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860" w:rsidP="00615860">
      <w:pPr>
        <w:pStyle w:val="Title"/>
      </w:pPr>
      <w:r>
        <w:fldChar w:fldCharType="begin"/>
      </w:r>
      <w:r>
        <w:instrText xml:space="preserve"> TITLE   \* MERGEFORMAT </w:instrText>
      </w:r>
      <w:r>
        <w:fldChar w:fldCharType="separate"/>
      </w:r>
      <w:r>
        <w:t>Assessment Requirements for FWPWPP2211 Move material by transfer equipment</w:t>
      </w:r>
      <w:r>
        <w:fldChar w:fldCharType="end"/>
      </w:r>
    </w:p>
    <w:p w:rsidR="00615860" w:rsidP="00615860">
      <w:pPr>
        <w:pStyle w:val="Version"/>
        <w:sectPr w:rsidSect="00FE5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4A0" w:rsidP="00FE54A0">
      <w:pPr>
        <w:pStyle w:val="SuperHeading"/>
      </w:pPr>
      <w:r w:rsidRPr="00FE54A0">
        <w:t>Assessment Requirements for FWPWPP2211 Move material by transfer equipment</w:t>
      </w:r>
    </w:p>
    <w:p w:rsidR="00000000" w:rsidRPr="00FE54A0" w:rsidP="00FE54A0">
      <w:pPr>
        <w:pStyle w:val="Heading1"/>
      </w:pPr>
      <w:bookmarkStart w:id="1" w:name="O_916997"/>
      <w:bookmarkEnd w:id="1"/>
      <w:r w:rsidRPr="00FE54A0">
        <w:t>Modification History</w:t>
      </w:r>
    </w:p>
    <w:tbl>
      <w:tblPr>
        <w:tblW w:w="0" w:type="auto"/>
        <w:tblCellMar>
          <w:left w:w="62" w:type="dxa"/>
          <w:right w:w="62" w:type="dxa"/>
        </w:tblCellMar>
        <w:tblLook w:val="0000"/>
      </w:tblPr>
      <w:tblGrid>
        <w:gridCol w:w="2007"/>
        <w:gridCol w:w="7189"/>
      </w:tblGrid>
      <w:tr w:rsidTr="006158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A0" w:rsidP="00FE54A0">
            <w:pPr>
              <w:pStyle w:val="BodyText"/>
            </w:pPr>
            <w:r w:rsidRPr="00FE54A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4A0">
            <w:pPr>
              <w:pStyle w:val="BodyText"/>
              <w:rPr>
                <w:lang w:val="en-NZ"/>
              </w:rPr>
            </w:pPr>
            <w:r w:rsidRPr="00FE54A0">
              <w:rPr>
                <w:rStyle w:val="SpecialBold"/>
              </w:rPr>
              <w:t>Comment</w:t>
            </w:r>
          </w:p>
        </w:tc>
      </w:tr>
      <w:tr w:rsidTr="006158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4A0">
            <w:pPr>
              <w:pStyle w:val="BodyText"/>
              <w:rPr>
                <w:lang w:val="en-NZ"/>
              </w:rPr>
            </w:pPr>
            <w:r w:rsidRPr="00FE54A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A0" w:rsidP="00FE54A0">
            <w:pPr>
              <w:pStyle w:val="BodyText"/>
            </w:pPr>
            <w:r w:rsidRPr="00FE54A0">
              <w:t>Replaces equivalent unit FPIWPP2211B Move material by transfer equipment, which was first released with FPI11 Forest and Forest Products Training Package Version 2.2. This is the first release of this unit in the new standards format.</w:t>
            </w:r>
          </w:p>
          <w:p w:rsidR="00000000" w:rsidRPr="00FE54A0" w:rsidP="00FE54A0">
            <w:pPr>
              <w:pStyle w:val="BodyText"/>
            </w:pPr>
            <w:r w:rsidRPr="00FE54A0">
              <w:t>Assessment requiremen</w:t>
            </w:r>
            <w:r w:rsidRPr="00FE54A0">
              <w:t>ts now specify the performance and knowledge evidence, as well as assessment conditions for this unit of competency. These sections simplify and replace components used in the previous unit format, including Required Skills and Knowledge, Evidence Guide an</w:t>
            </w:r>
            <w:r w:rsidRPr="00FE54A0">
              <w:t>d Range Statement</w:t>
            </w:r>
          </w:p>
        </w:tc>
      </w:tr>
    </w:tbl>
    <w:p w:rsidR="00000000" w:rsidRPr="00FE54A0" w:rsidP="00FE54A0">
      <w:pPr>
        <w:pStyle w:val="BodyText"/>
      </w:pPr>
    </w:p>
    <w:p w:rsidR="00000000" w:rsidRPr="00FE54A0" w:rsidP="00FE54A0">
      <w:pPr>
        <w:pStyle w:val="AllowPageBreak"/>
      </w:pPr>
    </w:p>
    <w:p w:rsidR="00000000" w:rsidRPr="00FE54A0" w:rsidP="00FE54A0">
      <w:pPr>
        <w:pStyle w:val="Heading1"/>
      </w:pPr>
      <w:bookmarkStart w:id="2" w:name="O_916998"/>
      <w:bookmarkEnd w:id="2"/>
      <w:r w:rsidRPr="00FE54A0">
        <w:t>Performance Evidence</w:t>
      </w:r>
    </w:p>
    <w:p w:rsidR="00000000" w:rsidRPr="00FE54A0" w:rsidP="00615860">
      <w:pPr>
        <w:pStyle w:val="BodyText"/>
      </w:pPr>
      <w:r w:rsidRPr="00FE54A0">
        <w:t>A person demonstrating competency in this unit must satisfy all of the elements, performance criteria and foundation skills of this unit.  If a specific volume or frequency is not stated below, then</w:t>
      </w:r>
      <w:r w:rsidRPr="00FE54A0">
        <w:t xml:space="preserve"> evidence must be provided that the following requirements have been performed on at least one occasion:</w:t>
      </w:r>
    </w:p>
    <w:p w:rsidR="00000000" w:rsidRPr="00FE54A0" w:rsidP="00FE54A0">
      <w:pPr>
        <w:pStyle w:val="ListBullet"/>
      </w:pPr>
      <w:r w:rsidRPr="00FE54A0">
        <w:t>follow organisational policies and procedures relevant to moving material by transfer equipment</w:t>
      </w:r>
    </w:p>
    <w:p w:rsidR="00000000" w:rsidRPr="00FE54A0" w:rsidP="00FE54A0">
      <w:pPr>
        <w:pStyle w:val="ListBullet"/>
      </w:pPr>
      <w:r w:rsidRPr="00FE54A0">
        <w:t xml:space="preserve">moving material by transfer car to convey material to </w:t>
      </w:r>
      <w:r w:rsidRPr="00FE54A0">
        <w:t>or from production areas</w:t>
      </w:r>
    </w:p>
    <w:p w:rsidR="00000000" w:rsidRPr="00FE54A0" w:rsidP="00FE54A0">
      <w:pPr>
        <w:pStyle w:val="ListBullet"/>
      </w:pPr>
      <w:r w:rsidRPr="00FE54A0">
        <w:t>redistribute material on site using rail and transfer car</w:t>
      </w:r>
    </w:p>
    <w:p w:rsidR="00000000" w:rsidRPr="00FE54A0" w:rsidP="00FE54A0">
      <w:pPr>
        <w:pStyle w:val="ListBullet"/>
      </w:pPr>
      <w:r w:rsidRPr="00FE54A0">
        <w:t>respond to circumstances where loads and transfer equipment may become unstable through loading oversized or overweight materials.</w:t>
      </w:r>
    </w:p>
    <w:p w:rsidR="00000000" w:rsidRPr="00FE54A0" w:rsidP="00FE54A0">
      <w:pPr>
        <w:pStyle w:val="AllowPageBreak"/>
      </w:pPr>
    </w:p>
    <w:p w:rsidR="00000000" w:rsidRPr="00FE54A0" w:rsidP="00FE54A0">
      <w:pPr>
        <w:pStyle w:val="Heading1"/>
      </w:pPr>
      <w:bookmarkStart w:id="3" w:name="O_916999"/>
      <w:bookmarkEnd w:id="3"/>
      <w:r w:rsidRPr="00FE54A0">
        <w:t>Knowledge Evidence</w:t>
      </w:r>
    </w:p>
    <w:p w:rsidR="00000000" w:rsidRPr="00FE54A0" w:rsidP="00615860">
      <w:pPr>
        <w:pStyle w:val="BodyText"/>
      </w:pPr>
      <w:r w:rsidRPr="00FE54A0">
        <w:t>A person competent in this unit must be able to demonstrate knowledge of:</w:t>
      </w:r>
    </w:p>
    <w:p w:rsidR="00000000" w:rsidRPr="00FE54A0" w:rsidP="00FE54A0">
      <w:pPr>
        <w:pStyle w:val="ListBullet"/>
      </w:pPr>
      <w:r w:rsidRPr="00FE54A0">
        <w:t>environmental protection practices for operating transfer equipment:</w:t>
      </w:r>
    </w:p>
    <w:p w:rsidR="00000000" w:rsidRPr="00FE54A0" w:rsidP="00FE54A0">
      <w:pPr>
        <w:pStyle w:val="ListBullet2"/>
      </w:pPr>
      <w:r w:rsidRPr="00FE54A0">
        <w:t>reducing water and energy use</w:t>
      </w:r>
    </w:p>
    <w:p w:rsidR="00000000" w:rsidRPr="00FE54A0" w:rsidP="00FE54A0">
      <w:pPr>
        <w:pStyle w:val="ListBullet2"/>
      </w:pPr>
      <w:r w:rsidRPr="00FE54A0">
        <w:t>cleaning plant, tools and equipment</w:t>
      </w:r>
    </w:p>
    <w:p w:rsidR="00000000" w:rsidRPr="00FE54A0" w:rsidP="00FE54A0">
      <w:pPr>
        <w:pStyle w:val="ListBullet"/>
      </w:pPr>
      <w:r w:rsidRPr="00FE54A0">
        <w:t>typical work flow processes for transferring</w:t>
      </w:r>
      <w:r w:rsidRPr="00FE54A0">
        <w:t xml:space="preserve"> timber and timber products to and from designated storage areas</w:t>
      </w:r>
    </w:p>
    <w:p w:rsidR="00000000" w:rsidRPr="00FE54A0" w:rsidP="00FE54A0">
      <w:pPr>
        <w:pStyle w:val="ListBullet"/>
      </w:pPr>
      <w:r w:rsidRPr="00FE54A0">
        <w:t>typical workplace hazards present during transfer operations and methods of minimising risks</w:t>
      </w:r>
    </w:p>
    <w:p w:rsidR="00000000" w:rsidRPr="00FE54A0" w:rsidP="00FE54A0">
      <w:pPr>
        <w:pStyle w:val="ListBullet"/>
      </w:pPr>
      <w:r w:rsidRPr="00FE54A0">
        <w:t>capacity of transfer equipment in relation to dimensions and weight</w:t>
      </w:r>
    </w:p>
    <w:p w:rsidR="00000000" w:rsidRPr="00FE54A0" w:rsidP="00FE54A0">
      <w:pPr>
        <w:pStyle w:val="ListBullet"/>
      </w:pPr>
      <w:r w:rsidRPr="00FE54A0">
        <w:t>methods to correctly load tran</w:t>
      </w:r>
      <w:r w:rsidRPr="00FE54A0">
        <w:t>sfer equipment to ensure stability of load and equipment</w:t>
      </w:r>
    </w:p>
    <w:p w:rsidR="00000000" w:rsidRPr="00FE54A0" w:rsidP="00FE54A0">
      <w:pPr>
        <w:pStyle w:val="ListBullet"/>
      </w:pPr>
      <w:r w:rsidRPr="00FE54A0">
        <w:t>key features of these varying signal systems used for transfer processes:</w:t>
      </w:r>
    </w:p>
    <w:p w:rsidR="00000000" w:rsidRPr="00FE54A0" w:rsidP="00FE54A0">
      <w:pPr>
        <w:pStyle w:val="ListBullet2"/>
      </w:pPr>
      <w:r w:rsidRPr="00FE54A0">
        <w:t>hand signals</w:t>
      </w:r>
    </w:p>
    <w:p w:rsidR="00000000" w:rsidRPr="00FE54A0" w:rsidP="00FE54A0">
      <w:pPr>
        <w:pStyle w:val="ListBullet2"/>
      </w:pPr>
      <w:r w:rsidRPr="00FE54A0">
        <w:t>whistles</w:t>
      </w:r>
    </w:p>
    <w:p w:rsidR="00000000" w:rsidRPr="00FE54A0" w:rsidP="00FE54A0">
      <w:pPr>
        <w:pStyle w:val="ListBullet2"/>
      </w:pPr>
      <w:r w:rsidRPr="00FE54A0">
        <w:t>sirens</w:t>
      </w:r>
    </w:p>
    <w:p w:rsidR="00000000" w:rsidRPr="00FE54A0" w:rsidP="00FE54A0">
      <w:pPr>
        <w:pStyle w:val="ListBullet2"/>
      </w:pPr>
      <w:r w:rsidRPr="00FE54A0">
        <w:t>loud speaker announcements</w:t>
      </w:r>
    </w:p>
    <w:p w:rsidR="00000000" w:rsidRPr="00FE54A0" w:rsidP="00FE54A0">
      <w:pPr>
        <w:pStyle w:val="ListBullet2"/>
      </w:pPr>
      <w:r w:rsidRPr="00FE54A0">
        <w:t>two way radios</w:t>
      </w:r>
    </w:p>
    <w:p w:rsidR="00000000" w:rsidRPr="00FE54A0" w:rsidP="00FE54A0">
      <w:pPr>
        <w:pStyle w:val="ListBullet"/>
      </w:pPr>
      <w:r w:rsidRPr="00FE54A0">
        <w:t>typical industry chain of command for communicating signals during transfer processes</w:t>
      </w:r>
    </w:p>
    <w:p w:rsidR="00000000" w:rsidRPr="00FE54A0" w:rsidP="00FE54A0">
      <w:pPr>
        <w:pStyle w:val="ListBullet"/>
      </w:pPr>
      <w:r w:rsidRPr="00FE54A0">
        <w:t>purpose, features, operation and shut down of equipment used to transfer timber and timber products:</w:t>
      </w:r>
    </w:p>
    <w:p w:rsidR="00000000" w:rsidRPr="00FE54A0" w:rsidP="00FE54A0">
      <w:pPr>
        <w:pStyle w:val="ListBullet2"/>
      </w:pPr>
      <w:r w:rsidRPr="00FE54A0">
        <w:t>rail and electrically powered rail mounted transfer car systems</w:t>
      </w:r>
    </w:p>
    <w:p w:rsidR="00000000" w:rsidRPr="00FE54A0" w:rsidP="00FE54A0">
      <w:pPr>
        <w:pStyle w:val="ListBullet2"/>
      </w:pPr>
      <w:r>
        <w:t>‘</w:t>
      </w:r>
      <w:r w:rsidRPr="00FE54A0">
        <w:t>fol</w:t>
      </w:r>
      <w:r w:rsidRPr="00FE54A0">
        <w:t>low me</w:t>
      </w:r>
      <w:r>
        <w:t>’</w:t>
      </w:r>
      <w:r w:rsidRPr="00FE54A0">
        <w:t xml:space="preserve"> trolleys</w:t>
      </w:r>
    </w:p>
    <w:p w:rsidR="00000000" w:rsidRPr="00FE54A0" w:rsidP="00FE54A0">
      <w:pPr>
        <w:pStyle w:val="ListBullet2"/>
      </w:pPr>
      <w:r w:rsidRPr="00FE54A0">
        <w:t>electronic-eye trolleys used in layup</w:t>
      </w:r>
    </w:p>
    <w:p w:rsidR="00000000" w:rsidRPr="00FE54A0" w:rsidP="00FE54A0">
      <w:pPr>
        <w:pStyle w:val="ListBullet"/>
      </w:pPr>
      <w:r w:rsidRPr="00FE54A0">
        <w:t>organisational procedures specific to transferring timber and timber products:</w:t>
      </w:r>
    </w:p>
    <w:p w:rsidR="00000000" w:rsidRPr="00FE54A0" w:rsidP="00FE54A0">
      <w:pPr>
        <w:pStyle w:val="ListBullet2"/>
      </w:pPr>
      <w:r w:rsidRPr="00FE54A0">
        <w:t>workplace health and safety with particular emphasis on equipment lock out and use of personal protective equipment</w:t>
      </w:r>
    </w:p>
    <w:p w:rsidR="00000000" w:rsidRPr="00FE54A0" w:rsidP="00FE54A0">
      <w:pPr>
        <w:pStyle w:val="ListBullet2"/>
      </w:pPr>
      <w:r w:rsidRPr="00FE54A0">
        <w:t>comm</w:t>
      </w:r>
      <w:r w:rsidRPr="00FE54A0">
        <w:t>unication reporting lines</w:t>
      </w:r>
    </w:p>
    <w:p w:rsidR="00000000" w:rsidRPr="00FE54A0" w:rsidP="00FE54A0">
      <w:pPr>
        <w:pStyle w:val="ListBullet2"/>
      </w:pPr>
      <w:r w:rsidRPr="00FE54A0">
        <w:t>recording and recording transfer processes and equipment faults.</w:t>
      </w:r>
    </w:p>
    <w:p w:rsidR="00000000" w:rsidRPr="00FE54A0" w:rsidP="00FE54A0">
      <w:pPr>
        <w:pStyle w:val="AllowPageBreak"/>
      </w:pPr>
    </w:p>
    <w:p w:rsidR="00000000" w:rsidRPr="00FE54A0" w:rsidP="00FE54A0">
      <w:pPr>
        <w:pStyle w:val="Heading1"/>
      </w:pPr>
      <w:bookmarkStart w:id="4" w:name="O_917000"/>
      <w:bookmarkEnd w:id="4"/>
      <w:r w:rsidRPr="00FE54A0">
        <w:t>Assessment Conditions</w:t>
      </w:r>
    </w:p>
    <w:p w:rsidR="00000000" w:rsidRPr="00FE54A0" w:rsidP="00615860">
      <w:pPr>
        <w:pStyle w:val="BodyText"/>
      </w:pPr>
      <w:r w:rsidRPr="00FE54A0">
        <w:t>The following resources must be made available:</w:t>
      </w:r>
    </w:p>
    <w:p w:rsidR="00000000" w:rsidRPr="00FE54A0" w:rsidP="00FE54A0">
      <w:pPr>
        <w:pStyle w:val="ListBullet"/>
      </w:pPr>
      <w:r w:rsidRPr="00FE54A0">
        <w:t xml:space="preserve">equipment used to transfer timber products which must </w:t>
      </w:r>
      <w:r w:rsidRPr="00FE54A0">
        <w:t>include one or more of the following:</w:t>
      </w:r>
    </w:p>
    <w:p w:rsidR="00000000" w:rsidRPr="00FE54A0" w:rsidP="00FE54A0">
      <w:pPr>
        <w:pStyle w:val="ListBullet2"/>
      </w:pPr>
      <w:r w:rsidRPr="00FE54A0">
        <w:t>rail and electrically powered rail mounted transfer car systems</w:t>
      </w:r>
    </w:p>
    <w:p w:rsidR="00000000" w:rsidRPr="00FE54A0" w:rsidP="00FE54A0">
      <w:pPr>
        <w:pStyle w:val="ListBullet2"/>
      </w:pPr>
      <w:r>
        <w:t>‘</w:t>
      </w:r>
      <w:r w:rsidRPr="00FE54A0">
        <w:t>follow me</w:t>
      </w:r>
      <w:r>
        <w:t>’</w:t>
      </w:r>
      <w:r w:rsidRPr="00FE54A0">
        <w:t xml:space="preserve"> trolleys</w:t>
      </w:r>
    </w:p>
    <w:p w:rsidR="00000000" w:rsidRPr="00FE54A0" w:rsidP="00FE54A0">
      <w:pPr>
        <w:pStyle w:val="ListBullet2"/>
      </w:pPr>
      <w:r w:rsidRPr="00FE54A0">
        <w:t>electronic-eye trolleys used in layup</w:t>
      </w:r>
    </w:p>
    <w:p w:rsidR="00000000" w:rsidRPr="00FE54A0" w:rsidP="00FE54A0">
      <w:pPr>
        <w:pStyle w:val="ListBullet"/>
      </w:pPr>
      <w:r w:rsidRPr="00FE54A0">
        <w:t>communication equipment used to signal operation of transfer equipment</w:t>
      </w:r>
    </w:p>
    <w:p w:rsidR="00000000" w:rsidRPr="00FE54A0" w:rsidP="00FE54A0">
      <w:pPr>
        <w:pStyle w:val="ListBullet"/>
      </w:pPr>
      <w:r w:rsidRPr="00FE54A0">
        <w:t>personal protective eq</w:t>
      </w:r>
      <w:r w:rsidRPr="00FE54A0">
        <w:t>uipment suitable for transferring timber products</w:t>
      </w:r>
    </w:p>
    <w:p w:rsidR="00000000" w:rsidRPr="00FE54A0" w:rsidP="00FE54A0">
      <w:pPr>
        <w:pStyle w:val="ListBullet"/>
      </w:pPr>
      <w:r w:rsidRPr="00FE54A0">
        <w:t>material for transfer including:</w:t>
      </w:r>
    </w:p>
    <w:p w:rsidR="00000000" w:rsidRPr="00FE54A0" w:rsidP="00FE54A0">
      <w:pPr>
        <w:pStyle w:val="ListBullet2"/>
      </w:pPr>
      <w:r w:rsidRPr="00FE54A0">
        <w:t>treated paper</w:t>
      </w:r>
    </w:p>
    <w:p w:rsidR="00000000" w:rsidRPr="00FE54A0" w:rsidP="00FE54A0">
      <w:pPr>
        <w:pStyle w:val="ListBullet2"/>
      </w:pPr>
      <w:r w:rsidRPr="00FE54A0">
        <w:t>wood chips</w:t>
      </w:r>
    </w:p>
    <w:p w:rsidR="00000000" w:rsidRPr="00FE54A0" w:rsidP="00FE54A0">
      <w:pPr>
        <w:pStyle w:val="ListBullet2"/>
      </w:pPr>
      <w:r w:rsidRPr="00FE54A0">
        <w:t>flakes</w:t>
      </w:r>
    </w:p>
    <w:p w:rsidR="00000000" w:rsidRPr="00FE54A0" w:rsidP="00FE54A0">
      <w:pPr>
        <w:pStyle w:val="ListBullet2"/>
      </w:pPr>
      <w:r w:rsidRPr="00FE54A0">
        <w:t>wood fibre</w:t>
      </w:r>
    </w:p>
    <w:p w:rsidR="00000000" w:rsidRPr="00FE54A0" w:rsidP="00FE54A0">
      <w:pPr>
        <w:pStyle w:val="ListBullet2"/>
      </w:pPr>
      <w:r w:rsidRPr="00FE54A0">
        <w:t>logs</w:t>
      </w:r>
    </w:p>
    <w:p w:rsidR="00000000" w:rsidRPr="00FE54A0" w:rsidP="00FE54A0">
      <w:pPr>
        <w:pStyle w:val="ListBullet2"/>
      </w:pPr>
      <w:r w:rsidRPr="00FE54A0">
        <w:t>bark</w:t>
      </w:r>
    </w:p>
    <w:p w:rsidR="00000000" w:rsidRPr="00FE54A0" w:rsidP="00FE54A0">
      <w:pPr>
        <w:pStyle w:val="ListBullet2"/>
      </w:pPr>
      <w:r w:rsidRPr="00FE54A0">
        <w:t>off-cuts</w:t>
      </w:r>
    </w:p>
    <w:p w:rsidR="00000000" w:rsidRPr="00FE54A0" w:rsidP="00FE54A0">
      <w:pPr>
        <w:pStyle w:val="ListBullet2"/>
      </w:pPr>
      <w:r w:rsidRPr="00FE54A0">
        <w:t>timber</w:t>
      </w:r>
    </w:p>
    <w:p w:rsidR="00000000" w:rsidRPr="00FE54A0" w:rsidP="00FE54A0">
      <w:pPr>
        <w:pStyle w:val="ListBullet2"/>
      </w:pPr>
      <w:r w:rsidRPr="00FE54A0">
        <w:t>raw board</w:t>
      </w:r>
    </w:p>
    <w:p w:rsidR="00000000" w:rsidRPr="00FE54A0" w:rsidP="00FE54A0">
      <w:pPr>
        <w:pStyle w:val="ListBullet2"/>
      </w:pPr>
      <w:r w:rsidRPr="00FE54A0">
        <w:t>panel products</w:t>
      </w:r>
    </w:p>
    <w:p w:rsidR="00000000" w:rsidRPr="00FE54A0" w:rsidP="00FE54A0">
      <w:pPr>
        <w:pStyle w:val="ListBullet2"/>
      </w:pPr>
      <w:r w:rsidRPr="00FE54A0">
        <w:t>veneer</w:t>
      </w:r>
    </w:p>
    <w:p w:rsidR="00000000" w:rsidRPr="00FE54A0" w:rsidP="00FE54A0">
      <w:pPr>
        <w:pStyle w:val="ListBullet"/>
      </w:pPr>
      <w:r w:rsidRPr="00FE54A0">
        <w:t>manufacturers’ instructions for equipment use</w:t>
      </w:r>
    </w:p>
    <w:p w:rsidR="00000000" w:rsidRPr="00FE54A0" w:rsidP="00FE54A0">
      <w:pPr>
        <w:pStyle w:val="ListBullet"/>
      </w:pPr>
      <w:r w:rsidRPr="00FE54A0">
        <w:t>work order with specific instructions for moving timber and timber products to and from a designated storage area</w:t>
      </w:r>
    </w:p>
    <w:p w:rsidR="00000000" w:rsidRPr="00FE54A0" w:rsidP="00FE54A0">
      <w:pPr>
        <w:pStyle w:val="ListBullet"/>
      </w:pPr>
      <w:r w:rsidRPr="00FE54A0">
        <w:t>template documents for recording transfer processes and equipment faults</w:t>
      </w:r>
    </w:p>
    <w:p w:rsidR="00000000" w:rsidRPr="00FE54A0" w:rsidP="00FE54A0">
      <w:pPr>
        <w:pStyle w:val="ListBullet"/>
      </w:pPr>
      <w:r w:rsidRPr="00FE54A0">
        <w:t>relevant personnel for the purposes of communicating information</w:t>
      </w:r>
    </w:p>
    <w:p w:rsidR="00000000" w:rsidRPr="00FE54A0" w:rsidP="00FE54A0">
      <w:pPr>
        <w:pStyle w:val="ListBullet"/>
      </w:pPr>
      <w:r w:rsidRPr="00FE54A0">
        <w:t>orga</w:t>
      </w:r>
      <w:r w:rsidRPr="00FE54A0">
        <w:t>nisational procedures for transferring timber and timber products.</w:t>
      </w:r>
    </w:p>
    <w:p w:rsidR="00000000" w:rsidRPr="00FE54A0" w:rsidP="00FE54A0">
      <w:pPr>
        <w:pStyle w:val="BodyText"/>
      </w:pPr>
    </w:p>
    <w:p w:rsidR="00000000" w:rsidRPr="00FE54A0" w:rsidP="00615860">
      <w:pPr>
        <w:pStyle w:val="BodyText"/>
      </w:pPr>
      <w:r w:rsidRPr="00FE54A0">
        <w:t xml:space="preserve">Competency is to be assessed in the workplace or a simulated environment that accurately reflects performance in a real workplace setting. </w:t>
      </w:r>
    </w:p>
    <w:p w:rsidR="00000000" w:rsidRPr="00FE54A0" w:rsidP="00615860">
      <w:pPr>
        <w:pStyle w:val="Heading3"/>
      </w:pPr>
      <w:r w:rsidRPr="00FE54A0">
        <w:rPr>
          <w:rStyle w:val="SpecialBold"/>
        </w:rPr>
        <w:t>Assessor requirements</w:t>
      </w:r>
    </w:p>
    <w:p w:rsidR="00000000" w:rsidRPr="00FE54A0" w:rsidP="00615860">
      <w:pPr>
        <w:pStyle w:val="BodyText"/>
      </w:pPr>
      <w:r w:rsidRPr="00FE54A0">
        <w:t>Assessors must:</w:t>
      </w:r>
    </w:p>
    <w:p w:rsidR="00000000" w:rsidRPr="00FE54A0" w:rsidP="00FE54A0">
      <w:pPr>
        <w:pStyle w:val="ListBullet"/>
      </w:pPr>
      <w:r w:rsidRPr="00FE54A0">
        <w:t>hold the appropriate assessor competency standards as outlined in regulations; and</w:t>
      </w:r>
    </w:p>
    <w:p w:rsidR="00000000" w:rsidRPr="00FE54A0" w:rsidP="00FE54A0">
      <w:pPr>
        <w:pStyle w:val="ListBullet"/>
      </w:pPr>
      <w:r w:rsidRPr="00FE54A0">
        <w:t>be able to demonstrate vocational competencies at least to the level being assessed; and</w:t>
      </w:r>
    </w:p>
    <w:p w:rsidR="00000000" w:rsidRPr="00FE54A0" w:rsidP="00FE54A0">
      <w:pPr>
        <w:pStyle w:val="ListBullet"/>
      </w:pPr>
      <w:r w:rsidRPr="00FE54A0">
        <w:t>be able to demonstrate how they are continuing to develop their VET knowledge and sk</w:t>
      </w:r>
      <w:r w:rsidRPr="00FE54A0">
        <w:t>ills as well as maintaining their industry currency and assessor competence.</w:t>
      </w:r>
    </w:p>
    <w:p w:rsidR="00000000" w:rsidRPr="00FE54A0" w:rsidP="00FE54A0">
      <w:pPr>
        <w:pStyle w:val="AllowPageBreak"/>
      </w:pPr>
    </w:p>
    <w:p w:rsidR="00000000" w:rsidRPr="00FE54A0" w:rsidP="00FE54A0">
      <w:pPr>
        <w:pStyle w:val="Heading1"/>
      </w:pPr>
      <w:bookmarkStart w:id="5" w:name="O_917003"/>
      <w:bookmarkEnd w:id="5"/>
      <w:r w:rsidRPr="00FE54A0">
        <w:t>Links</w:t>
      </w:r>
    </w:p>
    <w:p w:rsidR="00000000" w:rsidRPr="00FE54A0" w:rsidP="00615860">
      <w:pPr>
        <w:pStyle w:val="BodyText"/>
      </w:pPr>
      <w:r w:rsidRPr="00FE54A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D7240">
        <w:rPr>
          <w:rStyle w:val="Hyperlink"/>
        </w:rPr>
        <w:t>https://vetnet.gov.au/Pages/TrainingDocs.aspx?q=0d96fe23-5747-4c01-9d6f-3509ff8d3d47</w:t>
      </w:r>
      <w:r>
        <w:fldChar w:fldCharType="end"/>
      </w:r>
    </w:p>
    <w:p w:rsidR="00000000" w:rsidRPr="00FE54A0" w:rsidP="00FE54A0"/>
    <w:sectPr w:rsidSect="00FE5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A0" w:rsidRPr="00615860" w:rsidP="00615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60" w:rsidP="00FE5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860" w:rsidP="00FE54A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15860" w:rsidP="00FE5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4A0" w:rsidRPr="00615860" w:rsidP="006158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60" w:rsidRPr="002D2AF8" w:rsidP="00FE54A0">
    <w:pPr>
      <w:pStyle w:val="Header"/>
      <w:framePr w:wrap="around"/>
    </w:pPr>
    <w:r>
      <w:fldChar w:fldCharType="begin"/>
    </w:r>
    <w:r>
      <w:instrText xml:space="preserve"> TITLE   \* MERGEFORMAT </w:instrText>
    </w:r>
    <w:r>
      <w:fldChar w:fldCharType="separate"/>
    </w:r>
    <w:r>
      <w:t>Assessment Requirements for FWPWPP2211 Move material by transfer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615860" w:rsidP="00FE5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65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0C5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64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4A0"/>
    <w:pPr>
      <w:spacing w:before="360" w:after="60"/>
      <w:outlineLvl w:val="0"/>
    </w:pPr>
    <w:rPr>
      <w:sz w:val="32"/>
    </w:rPr>
  </w:style>
  <w:style w:type="paragraph" w:styleId="Heading2">
    <w:name w:val="heading 2"/>
    <w:basedOn w:val="HeadingBase"/>
    <w:next w:val="BodyText"/>
    <w:link w:val="Heading2Char"/>
    <w:qFormat/>
    <w:rsid w:val="00FE54A0"/>
    <w:pPr>
      <w:keepLines/>
      <w:spacing w:before="240" w:after="120"/>
      <w:outlineLvl w:val="1"/>
    </w:pPr>
    <w:rPr>
      <w:sz w:val="28"/>
      <w:szCs w:val="40"/>
    </w:rPr>
  </w:style>
  <w:style w:type="paragraph" w:styleId="Heading3">
    <w:name w:val="heading 3"/>
    <w:basedOn w:val="HeadingBase"/>
    <w:next w:val="BodyText"/>
    <w:link w:val="Heading3Char"/>
    <w:qFormat/>
    <w:rsid w:val="00FE54A0"/>
    <w:pPr>
      <w:spacing w:before="180" w:after="120"/>
      <w:outlineLvl w:val="2"/>
    </w:pPr>
    <w:rPr>
      <w:spacing w:val="-10"/>
      <w:kern w:val="32"/>
    </w:rPr>
  </w:style>
  <w:style w:type="paragraph" w:styleId="Heading4">
    <w:name w:val="heading 4"/>
    <w:basedOn w:val="HeadingBase"/>
    <w:next w:val="BodyText"/>
    <w:link w:val="Heading4Char"/>
    <w:qFormat/>
    <w:rsid w:val="00FE54A0"/>
    <w:pPr>
      <w:spacing w:before="160" w:after="120"/>
      <w:outlineLvl w:val="3"/>
    </w:pPr>
    <w:rPr>
      <w:sz w:val="22"/>
    </w:rPr>
  </w:style>
  <w:style w:type="paragraph" w:styleId="Heading5">
    <w:name w:val="heading 5"/>
    <w:basedOn w:val="HeadingBase"/>
    <w:next w:val="Normal"/>
    <w:link w:val="Heading5Char"/>
    <w:qFormat/>
    <w:rsid w:val="00FE54A0"/>
    <w:pPr>
      <w:spacing w:before="80"/>
      <w:outlineLvl w:val="4"/>
    </w:pPr>
    <w:rPr>
      <w:color w:val="918585"/>
      <w:sz w:val="20"/>
    </w:rPr>
  </w:style>
  <w:style w:type="paragraph" w:styleId="Heading6">
    <w:name w:val="heading 6"/>
    <w:basedOn w:val="HeadingBase"/>
    <w:next w:val="Normal"/>
    <w:link w:val="Heading6Char"/>
    <w:qFormat/>
    <w:rsid w:val="00FE54A0"/>
    <w:pPr>
      <w:spacing w:before="60"/>
      <w:outlineLvl w:val="5"/>
    </w:pPr>
    <w:rPr>
      <w:color w:val="918585"/>
      <w:sz w:val="20"/>
    </w:rPr>
  </w:style>
  <w:style w:type="paragraph" w:styleId="Heading7">
    <w:name w:val="heading 7"/>
    <w:basedOn w:val="Normal"/>
    <w:next w:val="Normal"/>
    <w:link w:val="Heading7Char"/>
    <w:qFormat/>
    <w:rsid w:val="00FE54A0"/>
    <w:pPr>
      <w:ind w:left="720"/>
      <w:outlineLvl w:val="6"/>
    </w:pPr>
    <w:rPr>
      <w:i/>
    </w:rPr>
  </w:style>
  <w:style w:type="paragraph" w:styleId="Heading8">
    <w:name w:val="heading 8"/>
    <w:basedOn w:val="Normal"/>
    <w:next w:val="Normal"/>
    <w:link w:val="Heading8Char"/>
    <w:qFormat/>
    <w:rsid w:val="00FE54A0"/>
    <w:pPr>
      <w:ind w:left="720"/>
      <w:outlineLvl w:val="7"/>
    </w:pPr>
    <w:rPr>
      <w:i/>
    </w:rPr>
  </w:style>
  <w:style w:type="paragraph" w:styleId="Heading9">
    <w:name w:val="heading 9"/>
    <w:basedOn w:val="Normal"/>
    <w:next w:val="Normal"/>
    <w:link w:val="Heading9Char"/>
    <w:qFormat/>
    <w:rsid w:val="00FE54A0"/>
    <w:pPr>
      <w:ind w:left="720"/>
      <w:outlineLvl w:val="8"/>
    </w:pPr>
    <w:rPr>
      <w:i/>
    </w:rPr>
  </w:style>
  <w:style w:type="character" w:default="1" w:styleId="DefaultParagraphFont">
    <w:name w:val="Default Paragraph Font"/>
    <w:uiPriority w:val="1"/>
    <w:unhideWhenUsed/>
    <w:rsid w:val="00FE5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4A0"/>
  </w:style>
  <w:style w:type="character" w:customStyle="1" w:styleId="Heading1Char">
    <w:name w:val="Heading 1 Char"/>
    <w:basedOn w:val="DefaultParagraphFont"/>
    <w:link w:val="Heading1"/>
    <w:rsid w:val="00FE54A0"/>
    <w:rPr>
      <w:rFonts w:ascii="Times New Roman" w:eastAsia="Times New Roman" w:hAnsi="Times New Roman" w:cs="Times New Roman"/>
      <w:b/>
      <w:sz w:val="32"/>
      <w:szCs w:val="20"/>
      <w:lang w:eastAsia="en-US"/>
    </w:rPr>
  </w:style>
  <w:style w:type="paragraph" w:styleId="BodyText">
    <w:name w:val="Body Text"/>
    <w:basedOn w:val="Normal"/>
    <w:link w:val="BodyTextChar"/>
    <w:rsid w:val="00FE54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4A0"/>
    <w:rPr>
      <w:rFonts w:ascii="Times New Roman" w:eastAsia="Times New Roman" w:hAnsi="Times New Roman" w:cs="Times New Roman"/>
      <w:sz w:val="24"/>
      <w:lang w:eastAsia="en-US"/>
    </w:rPr>
  </w:style>
  <w:style w:type="paragraph" w:styleId="ListBullet">
    <w:name w:val="List Bullet"/>
    <w:basedOn w:val="List"/>
    <w:rsid w:val="00FE54A0"/>
    <w:pPr>
      <w:numPr>
        <w:numId w:val="12"/>
      </w:numPr>
      <w:tabs>
        <w:tab w:val="clear" w:pos="340"/>
      </w:tabs>
      <w:spacing w:before="40" w:after="40"/>
    </w:pPr>
  </w:style>
  <w:style w:type="character" w:customStyle="1" w:styleId="SpecialBold">
    <w:name w:val="Special Bold"/>
    <w:basedOn w:val="DefaultParagraphFont"/>
    <w:rsid w:val="00FE54A0"/>
    <w:rPr>
      <w:b/>
      <w:spacing w:val="0"/>
    </w:rPr>
  </w:style>
  <w:style w:type="paragraph" w:styleId="ListBullet2">
    <w:name w:val="List Bullet 2"/>
    <w:basedOn w:val="List2"/>
    <w:rsid w:val="00FE54A0"/>
    <w:pPr>
      <w:numPr>
        <w:numId w:val="13"/>
      </w:numPr>
      <w:tabs>
        <w:tab w:val="clear" w:pos="680"/>
      </w:tabs>
    </w:pPr>
  </w:style>
  <w:style w:type="paragraph" w:customStyle="1" w:styleId="SuperHeading">
    <w:name w:val="SuperHeading"/>
    <w:basedOn w:val="Normal"/>
    <w:rsid w:val="00FE54A0"/>
    <w:pPr>
      <w:spacing w:before="240" w:after="120"/>
      <w:outlineLvl w:val="0"/>
    </w:pPr>
    <w:rPr>
      <w:rFonts w:ascii="Times New Roman" w:hAnsi="Times New Roman"/>
      <w:b/>
      <w:sz w:val="32"/>
    </w:rPr>
  </w:style>
  <w:style w:type="paragraph" w:customStyle="1" w:styleId="AllowPageBreak">
    <w:name w:val="AllowPageBreak"/>
    <w:rsid w:val="00FE5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4A0"/>
    <w:rPr>
      <w:rFonts w:ascii="Courier New" w:eastAsia="Times New Roman" w:hAnsi="Courier New" w:cs="Times New Roman"/>
      <w:i/>
      <w:szCs w:val="20"/>
      <w:lang w:eastAsia="en-US"/>
    </w:rPr>
  </w:style>
  <w:style w:type="paragraph" w:customStyle="1" w:styleId="HeadingBase">
    <w:name w:val="Heading Base"/>
    <w:rsid w:val="00FE5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4A0"/>
    <w:pPr>
      <w:tabs>
        <w:tab w:val="right" w:leader="dot" w:pos="9072"/>
      </w:tabs>
      <w:ind w:left="567"/>
    </w:pPr>
    <w:rPr>
      <w:szCs w:val="22"/>
    </w:rPr>
  </w:style>
  <w:style w:type="paragraph" w:customStyle="1" w:styleId="TOCBase">
    <w:name w:val="TOC Base"/>
    <w:rsid w:val="00FE5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4A0"/>
    <w:pPr>
      <w:tabs>
        <w:tab w:val="right" w:leader="dot" w:pos="9072"/>
      </w:tabs>
      <w:spacing w:before="40" w:after="40"/>
      <w:ind w:left="284"/>
    </w:pPr>
    <w:rPr>
      <w:rFonts w:ascii="Times New Roman" w:hAnsi="Times New Roman"/>
    </w:rPr>
  </w:style>
  <w:style w:type="paragraph" w:styleId="TOC1">
    <w:name w:val="toc 1"/>
    <w:basedOn w:val="TOCBase"/>
    <w:next w:val="Normal"/>
    <w:rsid w:val="00FE5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4A0"/>
    <w:rPr>
      <w:rFonts w:ascii="Times New Roman" w:eastAsia="Times New Roman" w:hAnsi="Times New Roman" w:cs="Times New Roman"/>
      <w:sz w:val="16"/>
      <w:lang w:eastAsia="en-US"/>
    </w:rPr>
  </w:style>
  <w:style w:type="paragraph" w:styleId="Title">
    <w:name w:val="Title"/>
    <w:basedOn w:val="HeadingBase"/>
    <w:link w:val="TitleChar"/>
    <w:qFormat/>
    <w:rsid w:val="00FE54A0"/>
    <w:pPr>
      <w:spacing w:before="5040"/>
      <w:jc w:val="center"/>
    </w:pPr>
    <w:rPr>
      <w:sz w:val="48"/>
      <w:szCs w:val="72"/>
      <w:lang w:val="en-US"/>
    </w:rPr>
  </w:style>
  <w:style w:type="character" w:customStyle="1" w:styleId="TitleChar">
    <w:name w:val="Title Char"/>
    <w:basedOn w:val="DefaultParagraphFont"/>
    <w:link w:val="Title"/>
    <w:rsid w:val="00FE5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4A0"/>
    <w:pPr>
      <w:tabs>
        <w:tab w:val="left" w:pos="3600"/>
        <w:tab w:val="left" w:pos="3958"/>
      </w:tabs>
    </w:pPr>
  </w:style>
  <w:style w:type="paragraph" w:styleId="List">
    <w:name w:val="List"/>
    <w:basedOn w:val="BodyText"/>
    <w:next w:val="BodyText"/>
    <w:rsid w:val="00FE54A0"/>
    <w:pPr>
      <w:tabs>
        <w:tab w:val="left" w:pos="340"/>
      </w:tabs>
      <w:spacing w:before="60" w:after="60"/>
      <w:ind w:left="340" w:hanging="340"/>
    </w:pPr>
  </w:style>
  <w:style w:type="paragraph" w:customStyle="1" w:styleId="Note">
    <w:name w:val="Note"/>
    <w:basedOn w:val="BodyText"/>
    <w:rsid w:val="00FE5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4A0"/>
    <w:pPr>
      <w:framePr w:wrap="auto" w:hAnchor="text" w:y="6049"/>
    </w:pPr>
    <w:rPr>
      <w:color w:val="000000"/>
      <w:sz w:val="40"/>
    </w:rPr>
  </w:style>
  <w:style w:type="paragraph" w:customStyle="1" w:styleId="TOCTitle">
    <w:name w:val="TOCTitle"/>
    <w:basedOn w:val="Heading1"/>
    <w:rsid w:val="00FE54A0"/>
    <w:pPr>
      <w:spacing w:after="240"/>
      <w:jc w:val="center"/>
      <w:outlineLvl w:val="9"/>
    </w:pPr>
    <w:rPr>
      <w:caps/>
    </w:rPr>
  </w:style>
  <w:style w:type="paragraph" w:customStyle="1" w:styleId="Version">
    <w:name w:val="Version"/>
    <w:rsid w:val="00FE5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4A0"/>
    <w:pPr>
      <w:keepNext w:val="0"/>
      <w:tabs>
        <w:tab w:val="right" w:pos="4176"/>
      </w:tabs>
      <w:ind w:left="198" w:hanging="198"/>
    </w:pPr>
    <w:rPr>
      <w:rFonts w:ascii="Garamond" w:hAnsi="Garamond"/>
    </w:rPr>
  </w:style>
  <w:style w:type="paragraph" w:styleId="IndexHeading">
    <w:name w:val="index heading"/>
    <w:basedOn w:val="Normal"/>
    <w:next w:val="Index1"/>
    <w:semiHidden/>
    <w:rsid w:val="00FE54A0"/>
    <w:pPr>
      <w:spacing w:before="120" w:after="120"/>
    </w:pPr>
    <w:rPr>
      <w:rFonts w:ascii="Arial" w:hAnsi="Arial"/>
      <w:b/>
      <w:color w:val="918585"/>
      <w:sz w:val="24"/>
    </w:rPr>
  </w:style>
  <w:style w:type="paragraph" w:styleId="Header">
    <w:name w:val="header"/>
    <w:basedOn w:val="Normal"/>
    <w:link w:val="HeaderChar"/>
    <w:rsid w:val="00FE5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4A0"/>
    <w:rPr>
      <w:rFonts w:ascii="Times New Roman" w:eastAsia="Times New Roman" w:hAnsi="Times New Roman" w:cs="Times New Roman"/>
      <w:sz w:val="16"/>
      <w:szCs w:val="20"/>
      <w:lang w:val="en-GB" w:eastAsia="en-US"/>
    </w:rPr>
  </w:style>
  <w:style w:type="paragraph" w:customStyle="1" w:styleId="Chapter">
    <w:name w:val="Chapter"/>
    <w:basedOn w:val="Normal"/>
    <w:rsid w:val="00FE54A0"/>
    <w:pPr>
      <w:spacing w:before="240"/>
    </w:pPr>
    <w:rPr>
      <w:rFonts w:ascii="Times New Roman" w:hAnsi="Times New Roman"/>
      <w:smallCaps/>
      <w:spacing w:val="80"/>
      <w:sz w:val="28"/>
    </w:rPr>
  </w:style>
  <w:style w:type="paragraph" w:customStyle="1" w:styleId="InChapter">
    <w:name w:val="InChapter"/>
    <w:basedOn w:val="Heading3"/>
    <w:rsid w:val="00FE54A0"/>
    <w:pPr>
      <w:spacing w:after="240"/>
      <w:outlineLvl w:val="9"/>
    </w:pPr>
    <w:rPr>
      <w:noProof/>
    </w:rPr>
  </w:style>
  <w:style w:type="paragraph" w:styleId="Index2">
    <w:name w:val="index 2"/>
    <w:basedOn w:val="Normal"/>
    <w:next w:val="Normal"/>
    <w:semiHidden/>
    <w:rsid w:val="00FE54A0"/>
    <w:pPr>
      <w:tabs>
        <w:tab w:val="right" w:pos="4176"/>
      </w:tabs>
      <w:ind w:left="568" w:hanging="284"/>
    </w:pPr>
    <w:rPr>
      <w:rFonts w:ascii="Garamond" w:hAnsi="Garamond"/>
    </w:rPr>
  </w:style>
  <w:style w:type="paragraph" w:customStyle="1" w:styleId="Byline">
    <w:name w:val="Byline"/>
    <w:rsid w:val="00FE5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4A0"/>
    <w:pPr>
      <w:tabs>
        <w:tab w:val="clear" w:pos="3600"/>
        <w:tab w:val="clear" w:pos="3958"/>
      </w:tabs>
      <w:jc w:val="right"/>
    </w:pPr>
  </w:style>
  <w:style w:type="character" w:styleId="Emphasis">
    <w:name w:val="Emphasis"/>
    <w:basedOn w:val="DefaultParagraphFont"/>
    <w:qFormat/>
    <w:rsid w:val="00FE54A0"/>
    <w:rPr>
      <w:i/>
    </w:rPr>
  </w:style>
  <w:style w:type="paragraph" w:styleId="Caption">
    <w:name w:val="caption"/>
    <w:basedOn w:val="BodyText"/>
    <w:next w:val="Normal"/>
    <w:qFormat/>
    <w:rsid w:val="00FE54A0"/>
    <w:pPr>
      <w:framePr w:w="2268" w:hSpace="181" w:vSpace="181" w:wrap="around" w:vAnchor="text" w:hAnchor="page" w:x="1135" w:y="285" w:anchorLock="1"/>
    </w:pPr>
    <w:rPr>
      <w:i/>
    </w:rPr>
  </w:style>
  <w:style w:type="paragraph" w:customStyle="1" w:styleId="MiniTOCTitle">
    <w:name w:val="MiniTOCTitle"/>
    <w:basedOn w:val="Heading4"/>
    <w:rsid w:val="00FE54A0"/>
    <w:pPr>
      <w:spacing w:before="240"/>
      <w:outlineLvl w:val="9"/>
    </w:pPr>
    <w:rPr>
      <w:noProof/>
      <w:sz w:val="24"/>
    </w:rPr>
  </w:style>
  <w:style w:type="paragraph" w:customStyle="1" w:styleId="MiniTOCItem">
    <w:name w:val="MiniTOCItem"/>
    <w:basedOn w:val="ListBullet"/>
    <w:rsid w:val="00FE54A0"/>
    <w:pPr>
      <w:numPr>
        <w:numId w:val="0"/>
      </w:numPr>
      <w:tabs>
        <w:tab w:val="right" w:leader="dot" w:pos="6521"/>
      </w:tabs>
      <w:spacing w:before="0" w:after="0"/>
    </w:pPr>
  </w:style>
  <w:style w:type="paragraph" w:customStyle="1" w:styleId="TOFTitle">
    <w:name w:val="TOFTitle"/>
    <w:basedOn w:val="TOCTitle"/>
    <w:rsid w:val="00FE54A0"/>
  </w:style>
  <w:style w:type="paragraph" w:styleId="TableofFigures">
    <w:name w:val="table of figures"/>
    <w:basedOn w:val="Normal"/>
    <w:next w:val="Normal"/>
    <w:semiHidden/>
    <w:rsid w:val="00FE54A0"/>
    <w:pPr>
      <w:tabs>
        <w:tab w:val="right" w:leader="dot" w:pos="9072"/>
      </w:tabs>
      <w:ind w:left="970" w:hanging="403"/>
    </w:pPr>
    <w:rPr>
      <w:rFonts w:ascii="Times New Roman" w:hAnsi="Times New Roman"/>
      <w:b/>
    </w:rPr>
  </w:style>
  <w:style w:type="paragraph" w:styleId="ListNumber">
    <w:name w:val="List Number"/>
    <w:basedOn w:val="List"/>
    <w:rsid w:val="00FE54A0"/>
    <w:pPr>
      <w:numPr>
        <w:numId w:val="15"/>
      </w:numPr>
      <w:tabs>
        <w:tab w:val="clear" w:pos="340"/>
      </w:tabs>
    </w:pPr>
  </w:style>
  <w:style w:type="character" w:customStyle="1" w:styleId="WingdingSymbols">
    <w:name w:val="Wingding Symbols"/>
    <w:rsid w:val="00FE54A0"/>
    <w:rPr>
      <w:rFonts w:ascii="Wingdings" w:hAnsi="Wingdings"/>
    </w:rPr>
  </w:style>
  <w:style w:type="paragraph" w:customStyle="1" w:styleId="TableHeading">
    <w:name w:val="Table Heading"/>
    <w:basedOn w:val="HeadingBase"/>
    <w:rsid w:val="00FE54A0"/>
    <w:pPr>
      <w:keepLines/>
      <w:pBdr>
        <w:bottom w:val="single" w:sz="6" w:space="1" w:color="918585"/>
      </w:pBdr>
      <w:spacing w:before="240"/>
    </w:pPr>
  </w:style>
  <w:style w:type="character" w:customStyle="1" w:styleId="HotSpot">
    <w:name w:val="HotSpot"/>
    <w:rsid w:val="00FE54A0"/>
    <w:rPr>
      <w:color w:val="0033CC"/>
      <w:u w:val="none"/>
    </w:rPr>
  </w:style>
  <w:style w:type="paragraph" w:customStyle="1" w:styleId="BodyTextRight">
    <w:name w:val="Body Text Right"/>
    <w:basedOn w:val="BodyText"/>
    <w:rsid w:val="00FE54A0"/>
    <w:pPr>
      <w:spacing w:before="0" w:after="0"/>
      <w:jc w:val="right"/>
    </w:pPr>
  </w:style>
  <w:style w:type="paragraph" w:styleId="Index3">
    <w:name w:val="index 3"/>
    <w:basedOn w:val="ListNumber2"/>
    <w:next w:val="Normal"/>
    <w:semiHidden/>
    <w:rsid w:val="00FE54A0"/>
    <w:pPr>
      <w:numPr>
        <w:numId w:val="0"/>
      </w:numPr>
      <w:tabs>
        <w:tab w:val="right" w:leader="dot" w:pos="4176"/>
      </w:tabs>
    </w:pPr>
  </w:style>
  <w:style w:type="paragraph" w:styleId="ListNumber2">
    <w:name w:val="List Number 2"/>
    <w:basedOn w:val="List2"/>
    <w:rsid w:val="00FE54A0"/>
    <w:pPr>
      <w:numPr>
        <w:numId w:val="10"/>
      </w:numPr>
      <w:tabs>
        <w:tab w:val="clear" w:pos="1060"/>
      </w:tabs>
    </w:pPr>
  </w:style>
  <w:style w:type="paragraph" w:customStyle="1" w:styleId="MarginNote">
    <w:name w:val="Margin Note"/>
    <w:basedOn w:val="BodyText"/>
    <w:rsid w:val="00FE5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4A0"/>
    <w:rPr>
      <w:sz w:val="32"/>
    </w:rPr>
  </w:style>
  <w:style w:type="paragraph" w:customStyle="1" w:styleId="HeadingProcedure">
    <w:name w:val="Heading Procedure"/>
    <w:basedOn w:val="HeadingBase"/>
    <w:next w:val="Normal"/>
    <w:rsid w:val="00FE54A0"/>
    <w:pPr>
      <w:tabs>
        <w:tab w:val="left" w:pos="0"/>
      </w:tabs>
      <w:spacing w:before="120" w:after="60"/>
    </w:pPr>
    <w:rPr>
      <w:i/>
      <w:color w:val="918585"/>
      <w:sz w:val="22"/>
    </w:rPr>
  </w:style>
  <w:style w:type="paragraph" w:customStyle="1" w:styleId="TableBodyText">
    <w:name w:val="Table Body Text"/>
    <w:basedOn w:val="BodyText"/>
    <w:rsid w:val="00FE54A0"/>
    <w:pPr>
      <w:spacing w:before="60" w:after="60"/>
    </w:pPr>
  </w:style>
  <w:style w:type="paragraph" w:styleId="ListContinue">
    <w:name w:val="List Continue"/>
    <w:basedOn w:val="List"/>
    <w:rsid w:val="00FE54A0"/>
    <w:pPr>
      <w:ind w:firstLine="0"/>
    </w:pPr>
  </w:style>
  <w:style w:type="paragraph" w:customStyle="1" w:styleId="ListNote">
    <w:name w:val="List Note"/>
    <w:basedOn w:val="List"/>
    <w:rsid w:val="00FE54A0"/>
    <w:pPr>
      <w:pBdr>
        <w:top w:val="single" w:sz="6" w:space="2" w:color="918585"/>
        <w:bottom w:val="single" w:sz="6" w:space="2" w:color="918585"/>
      </w:pBdr>
      <w:tabs>
        <w:tab w:val="left" w:pos="1021"/>
      </w:tabs>
      <w:ind w:firstLine="0"/>
    </w:pPr>
  </w:style>
  <w:style w:type="paragraph" w:customStyle="1" w:styleId="Warning">
    <w:name w:val="Warning"/>
    <w:basedOn w:val="BodyText"/>
    <w:rsid w:val="00FE54A0"/>
    <w:pPr>
      <w:shd w:val="clear" w:color="auto" w:fill="D9D9D9"/>
      <w:tabs>
        <w:tab w:val="left" w:pos="992"/>
      </w:tabs>
      <w:ind w:left="119" w:right="119"/>
    </w:pPr>
    <w:rPr>
      <w:sz w:val="20"/>
    </w:rPr>
  </w:style>
  <w:style w:type="paragraph" w:customStyle="1" w:styleId="MarginIcons">
    <w:name w:val="Margin Icons"/>
    <w:basedOn w:val="BodyText"/>
    <w:rsid w:val="00FE5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4A0"/>
    <w:rPr>
      <w:rFonts w:ascii="Courier New" w:hAnsi="Courier New"/>
    </w:rPr>
  </w:style>
  <w:style w:type="paragraph" w:customStyle="1" w:styleId="NoteBullet">
    <w:name w:val="Note Bullet"/>
    <w:basedOn w:val="Note"/>
    <w:rsid w:val="00FE54A0"/>
    <w:pPr>
      <w:tabs>
        <w:tab w:val="clear" w:pos="680"/>
      </w:tabs>
      <w:spacing w:before="60" w:after="60"/>
    </w:pPr>
  </w:style>
  <w:style w:type="paragraph" w:customStyle="1" w:styleId="SubHeading2">
    <w:name w:val="SubHeading2"/>
    <w:basedOn w:val="HeadingBase"/>
    <w:rsid w:val="00FE54A0"/>
    <w:pPr>
      <w:spacing w:before="240" w:after="60"/>
    </w:pPr>
    <w:rPr>
      <w:sz w:val="20"/>
    </w:rPr>
  </w:style>
  <w:style w:type="paragraph" w:customStyle="1" w:styleId="SubHeading1">
    <w:name w:val="SubHeading1"/>
    <w:basedOn w:val="HeadingBase"/>
    <w:rsid w:val="00FE54A0"/>
    <w:pPr>
      <w:spacing w:before="240" w:after="60"/>
    </w:pPr>
    <w:rPr>
      <w:color w:val="918585"/>
      <w:sz w:val="22"/>
    </w:rPr>
  </w:style>
  <w:style w:type="paragraph" w:customStyle="1" w:styleId="SideHeading">
    <w:name w:val="Side Heading"/>
    <w:basedOn w:val="HeadingBase"/>
    <w:rsid w:val="00FE5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4A0"/>
    <w:pPr>
      <w:tabs>
        <w:tab w:val="num" w:pos="360"/>
      </w:tabs>
    </w:pPr>
  </w:style>
  <w:style w:type="paragraph" w:styleId="PlainText">
    <w:name w:val="Plain Text"/>
    <w:basedOn w:val="Normal"/>
    <w:link w:val="PlainTextChar"/>
    <w:rsid w:val="00FE54A0"/>
    <w:rPr>
      <w:sz w:val="20"/>
    </w:rPr>
  </w:style>
  <w:style w:type="character" w:customStyle="1" w:styleId="PlainTextChar">
    <w:name w:val="Plain Text Char"/>
    <w:basedOn w:val="DefaultParagraphFont"/>
    <w:link w:val="PlainText"/>
    <w:rsid w:val="00FE54A0"/>
    <w:rPr>
      <w:rFonts w:ascii="Courier New" w:eastAsia="Times New Roman" w:hAnsi="Courier New" w:cs="Times New Roman"/>
      <w:sz w:val="20"/>
      <w:szCs w:val="20"/>
      <w:lang w:eastAsia="en-US"/>
    </w:rPr>
  </w:style>
  <w:style w:type="character" w:customStyle="1" w:styleId="MenuOption">
    <w:name w:val="Menu Option"/>
    <w:basedOn w:val="DefaultParagraphFont"/>
    <w:rsid w:val="00FE54A0"/>
    <w:rPr>
      <w:b/>
      <w:smallCaps/>
    </w:rPr>
  </w:style>
  <w:style w:type="paragraph" w:customStyle="1" w:styleId="TableListNumber">
    <w:name w:val="Table List Number"/>
    <w:basedOn w:val="ListNumber"/>
    <w:rsid w:val="00FE54A0"/>
    <w:pPr>
      <w:numPr>
        <w:numId w:val="0"/>
      </w:numPr>
    </w:pPr>
  </w:style>
  <w:style w:type="paragraph" w:styleId="TOC4">
    <w:name w:val="toc 4"/>
    <w:basedOn w:val="TOCBase"/>
    <w:next w:val="Normal"/>
    <w:semiHidden/>
    <w:rsid w:val="00FE54A0"/>
    <w:pPr>
      <w:tabs>
        <w:tab w:val="right" w:leader="dot" w:pos="9071"/>
      </w:tabs>
      <w:ind w:left="1701"/>
    </w:pPr>
  </w:style>
  <w:style w:type="paragraph" w:customStyle="1" w:styleId="ListAlpha">
    <w:name w:val="List Alpha"/>
    <w:basedOn w:val="List"/>
    <w:rsid w:val="00FE54A0"/>
    <w:pPr>
      <w:numPr>
        <w:numId w:val="9"/>
      </w:numPr>
    </w:pPr>
  </w:style>
  <w:style w:type="paragraph" w:customStyle="1" w:styleId="ListAlpha2">
    <w:name w:val="List Alpha 2"/>
    <w:basedOn w:val="List2"/>
    <w:rsid w:val="00FE54A0"/>
    <w:pPr>
      <w:numPr>
        <w:numId w:val="8"/>
      </w:numPr>
    </w:pPr>
  </w:style>
  <w:style w:type="paragraph" w:styleId="List2">
    <w:name w:val="List 2"/>
    <w:basedOn w:val="BodyText"/>
    <w:rsid w:val="00FE54A0"/>
    <w:pPr>
      <w:tabs>
        <w:tab w:val="left" w:pos="680"/>
      </w:tabs>
      <w:spacing w:before="60" w:after="60"/>
      <w:ind w:left="680" w:hanging="340"/>
    </w:pPr>
  </w:style>
  <w:style w:type="paragraph" w:styleId="List3">
    <w:name w:val="List 3"/>
    <w:basedOn w:val="BodyText"/>
    <w:rsid w:val="00FE54A0"/>
    <w:pPr>
      <w:tabs>
        <w:tab w:val="left" w:pos="1021"/>
      </w:tabs>
      <w:spacing w:before="60" w:after="60"/>
      <w:ind w:left="1020" w:hanging="340"/>
    </w:pPr>
  </w:style>
  <w:style w:type="paragraph" w:styleId="List4">
    <w:name w:val="List 4"/>
    <w:basedOn w:val="BodyText"/>
    <w:rsid w:val="00FE54A0"/>
    <w:pPr>
      <w:tabs>
        <w:tab w:val="left" w:pos="1361"/>
      </w:tabs>
      <w:spacing w:before="60" w:after="60"/>
      <w:ind w:left="1361" w:hanging="340"/>
    </w:pPr>
  </w:style>
  <w:style w:type="paragraph" w:styleId="List5">
    <w:name w:val="List 5"/>
    <w:basedOn w:val="BodyText"/>
    <w:rsid w:val="00FE54A0"/>
    <w:pPr>
      <w:tabs>
        <w:tab w:val="left" w:pos="1701"/>
      </w:tabs>
      <w:spacing w:before="60" w:after="60"/>
      <w:ind w:left="1701" w:hanging="340"/>
    </w:pPr>
  </w:style>
  <w:style w:type="paragraph" w:styleId="ListBullet3">
    <w:name w:val="List Bullet 3"/>
    <w:basedOn w:val="List3"/>
    <w:rsid w:val="00FE54A0"/>
    <w:pPr>
      <w:numPr>
        <w:numId w:val="14"/>
      </w:numPr>
      <w:tabs>
        <w:tab w:val="clear" w:pos="1021"/>
      </w:tabs>
      <w:ind w:left="1037" w:hanging="357"/>
    </w:pPr>
  </w:style>
  <w:style w:type="paragraph" w:styleId="ListBullet4">
    <w:name w:val="List Bullet 4"/>
    <w:basedOn w:val="List4"/>
    <w:rsid w:val="00FE54A0"/>
    <w:pPr>
      <w:numPr>
        <w:numId w:val="3"/>
      </w:numPr>
      <w:tabs>
        <w:tab w:val="clear" w:pos="1361"/>
      </w:tabs>
    </w:pPr>
  </w:style>
  <w:style w:type="paragraph" w:styleId="ListBullet5">
    <w:name w:val="List Bullet 5"/>
    <w:basedOn w:val="List5"/>
    <w:rsid w:val="00FE54A0"/>
    <w:pPr>
      <w:numPr>
        <w:numId w:val="4"/>
      </w:numPr>
    </w:pPr>
  </w:style>
  <w:style w:type="paragraph" w:styleId="ListContinue2">
    <w:name w:val="List Continue 2"/>
    <w:basedOn w:val="List2"/>
    <w:rsid w:val="00FE54A0"/>
    <w:pPr>
      <w:ind w:firstLine="0"/>
    </w:pPr>
  </w:style>
  <w:style w:type="paragraph" w:styleId="ListContinue3">
    <w:name w:val="List Continue 3"/>
    <w:basedOn w:val="List3"/>
    <w:rsid w:val="00FE54A0"/>
    <w:pPr>
      <w:ind w:left="1021" w:firstLine="0"/>
    </w:pPr>
  </w:style>
  <w:style w:type="paragraph" w:styleId="ListContinue4">
    <w:name w:val="List Continue 4"/>
    <w:basedOn w:val="List4"/>
    <w:rsid w:val="00FE54A0"/>
    <w:pPr>
      <w:ind w:firstLine="0"/>
    </w:pPr>
  </w:style>
  <w:style w:type="paragraph" w:styleId="ListContinue5">
    <w:name w:val="List Continue 5"/>
    <w:basedOn w:val="List5"/>
    <w:rsid w:val="00FE54A0"/>
    <w:pPr>
      <w:ind w:firstLine="0"/>
    </w:pPr>
  </w:style>
  <w:style w:type="paragraph" w:styleId="ListNumber3">
    <w:name w:val="List Number 3"/>
    <w:basedOn w:val="List3"/>
    <w:rsid w:val="00FE54A0"/>
    <w:pPr>
      <w:numPr>
        <w:numId w:val="5"/>
      </w:numPr>
    </w:pPr>
  </w:style>
  <w:style w:type="paragraph" w:styleId="ListNumber4">
    <w:name w:val="List Number 4"/>
    <w:basedOn w:val="List4"/>
    <w:rsid w:val="00FE54A0"/>
    <w:pPr>
      <w:numPr>
        <w:numId w:val="6"/>
      </w:numPr>
    </w:pPr>
  </w:style>
  <w:style w:type="paragraph" w:styleId="ListNumber5">
    <w:name w:val="List Number 5"/>
    <w:basedOn w:val="List5"/>
    <w:rsid w:val="00FE54A0"/>
    <w:pPr>
      <w:numPr>
        <w:numId w:val="7"/>
      </w:numPr>
    </w:pPr>
  </w:style>
  <w:style w:type="paragraph" w:styleId="BlockText">
    <w:name w:val="Block Text"/>
    <w:basedOn w:val="Normal"/>
    <w:rsid w:val="00FE54A0"/>
    <w:pPr>
      <w:spacing w:after="120"/>
      <w:ind w:left="1440" w:right="1440"/>
    </w:pPr>
  </w:style>
  <w:style w:type="character" w:customStyle="1" w:styleId="Subscript">
    <w:name w:val="Subscript"/>
    <w:basedOn w:val="DefaultParagraphFont"/>
    <w:rsid w:val="00FE54A0"/>
    <w:rPr>
      <w:sz w:val="16"/>
      <w:vertAlign w:val="subscript"/>
    </w:rPr>
  </w:style>
  <w:style w:type="character" w:customStyle="1" w:styleId="Superscript">
    <w:name w:val="Superscript"/>
    <w:basedOn w:val="DefaultParagraphFont"/>
    <w:rsid w:val="00FE54A0"/>
    <w:rPr>
      <w:sz w:val="16"/>
      <w:vertAlign w:val="superscript"/>
    </w:rPr>
  </w:style>
  <w:style w:type="character" w:customStyle="1" w:styleId="Symbols">
    <w:name w:val="Symbols"/>
    <w:basedOn w:val="DefaultParagraphFont"/>
    <w:rsid w:val="00FE54A0"/>
    <w:rPr>
      <w:rFonts w:ascii="Symbol" w:hAnsi="Symbol"/>
    </w:rPr>
  </w:style>
  <w:style w:type="character" w:customStyle="1" w:styleId="MenuOptions">
    <w:name w:val="Menu Options"/>
    <w:basedOn w:val="DefaultParagraphFont"/>
    <w:rsid w:val="00FE54A0"/>
    <w:rPr>
      <w:rFonts w:ascii="Arial Narrow" w:hAnsi="Arial Narrow"/>
      <w:smallCaps/>
    </w:rPr>
  </w:style>
  <w:style w:type="character" w:customStyle="1" w:styleId="Buttons">
    <w:name w:val="Buttons"/>
    <w:basedOn w:val="DefaultParagraphFont"/>
    <w:rsid w:val="00FE54A0"/>
    <w:rPr>
      <w:b/>
    </w:rPr>
  </w:style>
  <w:style w:type="character" w:customStyle="1" w:styleId="Underlined">
    <w:name w:val="Underlined"/>
    <w:basedOn w:val="DefaultParagraphFont"/>
    <w:rsid w:val="00FE54A0"/>
    <w:rPr>
      <w:u w:val="single"/>
    </w:rPr>
  </w:style>
  <w:style w:type="paragraph" w:customStyle="1" w:styleId="TableBodyTextRight">
    <w:name w:val="Table Body Text Right"/>
    <w:basedOn w:val="TableBodyText"/>
    <w:rsid w:val="00FE54A0"/>
    <w:pPr>
      <w:widowControl w:val="0"/>
      <w:autoSpaceDE w:val="0"/>
      <w:autoSpaceDN w:val="0"/>
      <w:adjustRightInd w:val="0"/>
      <w:jc w:val="right"/>
    </w:pPr>
    <w:rPr>
      <w:rFonts w:cs="Arial"/>
      <w:szCs w:val="18"/>
    </w:rPr>
  </w:style>
  <w:style w:type="paragraph" w:customStyle="1" w:styleId="CopyrightText">
    <w:name w:val="Copyright Text"/>
    <w:basedOn w:val="BodyText"/>
    <w:rsid w:val="00FE54A0"/>
    <w:rPr>
      <w:sz w:val="18"/>
    </w:rPr>
  </w:style>
  <w:style w:type="paragraph" w:customStyle="1" w:styleId="BodySmallRight">
    <w:name w:val="Body Small Right"/>
    <w:basedOn w:val="BodyTextRight"/>
    <w:rsid w:val="00FE54A0"/>
    <w:rPr>
      <w:sz w:val="18"/>
      <w:szCs w:val="18"/>
    </w:rPr>
  </w:style>
  <w:style w:type="paragraph" w:customStyle="1" w:styleId="MarginEdition">
    <w:name w:val="Margin Edition"/>
    <w:basedOn w:val="MarginNote"/>
    <w:rsid w:val="00FE54A0"/>
    <w:pPr>
      <w:spacing w:before="0" w:after="0"/>
    </w:pPr>
    <w:rPr>
      <w:rFonts w:ascii="Times New Roman" w:hAnsi="Times New Roman"/>
      <w:color w:val="999999"/>
    </w:rPr>
  </w:style>
  <w:style w:type="paragraph" w:customStyle="1" w:styleId="Spacer">
    <w:name w:val="Spacer"/>
    <w:basedOn w:val="Normal"/>
    <w:rsid w:val="00FE54A0"/>
    <w:rPr>
      <w:sz w:val="2"/>
      <w:szCs w:val="2"/>
    </w:rPr>
  </w:style>
  <w:style w:type="character" w:customStyle="1" w:styleId="Small">
    <w:name w:val="Small"/>
    <w:basedOn w:val="DefaultParagraphFont"/>
    <w:rsid w:val="00FE54A0"/>
    <w:rPr>
      <w:sz w:val="16"/>
    </w:rPr>
  </w:style>
  <w:style w:type="paragraph" w:customStyle="1" w:styleId="WideTable">
    <w:name w:val="Wide Table"/>
    <w:basedOn w:val="Normal"/>
    <w:rsid w:val="00FE54A0"/>
    <w:pPr>
      <w:ind w:left="-1418"/>
    </w:pPr>
    <w:rPr>
      <w:sz w:val="2"/>
      <w:szCs w:val="2"/>
    </w:rPr>
  </w:style>
  <w:style w:type="character" w:styleId="PageNumber">
    <w:name w:val="page number"/>
    <w:basedOn w:val="DefaultParagraphFont"/>
    <w:rsid w:val="00FE54A0"/>
  </w:style>
  <w:style w:type="paragraph" w:styleId="Quote">
    <w:name w:val="Quote"/>
    <w:basedOn w:val="Heading1"/>
    <w:link w:val="QuoteChar"/>
    <w:qFormat/>
    <w:rsid w:val="00FE54A0"/>
    <w:rPr>
      <w:b w:val="0"/>
      <w:sz w:val="72"/>
      <w:szCs w:val="72"/>
      <w:lang w:val="en-NZ"/>
    </w:rPr>
  </w:style>
  <w:style w:type="character" w:customStyle="1" w:styleId="QuoteChar">
    <w:name w:val="Quote Char"/>
    <w:basedOn w:val="DefaultParagraphFont"/>
    <w:link w:val="Quote"/>
    <w:rsid w:val="00FE5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4A0"/>
    <w:pPr>
      <w:pageBreakBefore/>
    </w:pPr>
  </w:style>
  <w:style w:type="paragraph" w:customStyle="1" w:styleId="Border">
    <w:name w:val="Border"/>
    <w:basedOn w:val="Normal"/>
    <w:qFormat/>
    <w:rsid w:val="00FE5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4A0"/>
    <w:rPr>
      <w:b/>
      <w:bCs/>
      <w:i/>
      <w:iCs/>
      <w:color w:val="auto"/>
    </w:rPr>
  </w:style>
  <w:style w:type="paragraph" w:styleId="IntenseQuote">
    <w:name w:val="Intense Quote"/>
    <w:basedOn w:val="Normal"/>
    <w:next w:val="Normal"/>
    <w:link w:val="IntenseQuoteChar"/>
    <w:uiPriority w:val="30"/>
    <w:qFormat/>
    <w:rsid w:val="00FE5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4A0"/>
    <w:rPr>
      <w:smallCaps/>
      <w:color w:val="auto"/>
      <w:u w:val="single"/>
    </w:rPr>
  </w:style>
  <w:style w:type="character" w:styleId="IntenseReference">
    <w:name w:val="Intense Reference"/>
    <w:basedOn w:val="DefaultParagraphFont"/>
    <w:uiPriority w:val="32"/>
    <w:qFormat/>
    <w:rsid w:val="00FE54A0"/>
    <w:rPr>
      <w:b/>
      <w:bCs/>
      <w:smallCaps/>
      <w:color w:val="auto"/>
      <w:spacing w:val="5"/>
      <w:u w:val="single"/>
    </w:rPr>
  </w:style>
  <w:style w:type="paragraph" w:customStyle="1" w:styleId="2ColumnHeading">
    <w:name w:val="2Column Heading"/>
    <w:basedOn w:val="BodyText"/>
    <w:qFormat/>
    <w:rsid w:val="00FE54A0"/>
    <w:pPr>
      <w:spacing w:after="60"/>
      <w:ind w:left="-2268"/>
    </w:pPr>
    <w:rPr>
      <w:b/>
    </w:rPr>
  </w:style>
  <w:style w:type="paragraph" w:customStyle="1" w:styleId="Heading1TOC">
    <w:name w:val="Heading1 TOC"/>
    <w:basedOn w:val="Normal"/>
    <w:qFormat/>
    <w:rsid w:val="00FE54A0"/>
    <w:pPr>
      <w:spacing w:before="240" w:after="120"/>
    </w:pPr>
    <w:rPr>
      <w:rFonts w:ascii="Times New Roman" w:hAnsi="Times New Roman"/>
      <w:b/>
      <w:sz w:val="32"/>
    </w:rPr>
  </w:style>
  <w:style w:type="paragraph" w:customStyle="1" w:styleId="Heading2TOC">
    <w:name w:val="Heading2 TOC"/>
    <w:basedOn w:val="Normal"/>
    <w:qFormat/>
    <w:rsid w:val="00FE54A0"/>
    <w:pPr>
      <w:spacing w:before="240" w:after="60"/>
    </w:pPr>
    <w:rPr>
      <w:rFonts w:ascii="Times New Roman" w:hAnsi="Times New Roman"/>
      <w:b/>
      <w:sz w:val="28"/>
    </w:rPr>
  </w:style>
  <w:style w:type="character" w:customStyle="1" w:styleId="Underline">
    <w:name w:val="Underline"/>
    <w:basedOn w:val="DefaultParagraphFont"/>
    <w:qFormat/>
    <w:rsid w:val="00FE54A0"/>
    <w:rPr>
      <w:u w:val="single"/>
    </w:rPr>
  </w:style>
  <w:style w:type="character" w:customStyle="1" w:styleId="BoldandItalics">
    <w:name w:val="Bold and Italics"/>
    <w:qFormat/>
    <w:rsid w:val="00FE54A0"/>
    <w:rPr>
      <w:b/>
      <w:i/>
      <w:u w:val="none"/>
    </w:rPr>
  </w:style>
  <w:style w:type="paragraph" w:styleId="BalloonText">
    <w:name w:val="Balloon Text"/>
    <w:basedOn w:val="Normal"/>
    <w:link w:val="BalloonTextChar"/>
    <w:rsid w:val="00FE54A0"/>
    <w:rPr>
      <w:rFonts w:ascii="Tahoma" w:hAnsi="Tahoma" w:cs="Tahoma"/>
      <w:sz w:val="16"/>
      <w:szCs w:val="16"/>
    </w:rPr>
  </w:style>
  <w:style w:type="character" w:customStyle="1" w:styleId="BalloonTextChar">
    <w:name w:val="Balloon Text Char"/>
    <w:basedOn w:val="DefaultParagraphFont"/>
    <w:link w:val="BalloonText"/>
    <w:rsid w:val="00FE5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4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4A0"/>
    <w:rPr>
      <w:b/>
      <w:color w:val="660033"/>
      <w:spacing w:val="0"/>
    </w:rPr>
  </w:style>
  <w:style w:type="paragraph" w:customStyle="1" w:styleId="Nameditemlist">
    <w:name w:val="Named item list"/>
    <w:basedOn w:val="BodyText"/>
    <w:qFormat/>
    <w:rsid w:val="00FE54A0"/>
    <w:pPr>
      <w:tabs>
        <w:tab w:val="left" w:pos="2835"/>
      </w:tabs>
      <w:ind w:left="2835" w:hanging="2835"/>
    </w:pPr>
  </w:style>
  <w:style w:type="paragraph" w:customStyle="1" w:styleId="BodyTextnopadding">
    <w:name w:val="Body Text no padding"/>
    <w:basedOn w:val="BodyText"/>
    <w:qFormat/>
    <w:rsid w:val="00FE54A0"/>
    <w:pPr>
      <w:spacing w:before="0" w:after="0"/>
    </w:pPr>
  </w:style>
  <w:style w:type="paragraph" w:customStyle="1" w:styleId="BodyTextBold">
    <w:name w:val="Body Text Bold"/>
    <w:basedOn w:val="BodyText"/>
    <w:qFormat/>
    <w:rsid w:val="00FE54A0"/>
    <w:rPr>
      <w:b/>
    </w:rPr>
  </w:style>
  <w:style w:type="character" w:styleId="Hyperlink">
    <w:name w:val="Hyperlink"/>
    <w:basedOn w:val="DefaultParagraphFont"/>
    <w:uiPriority w:val="99"/>
    <w:unhideWhenUsed/>
    <w:rsid w:val="006158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3905</Characters>
  <Application>Microsoft Office Word</Application>
  <DocSecurity>0</DocSecurity>
  <Lines>108</Lines>
  <Paragraphs>85</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FWPWPP2211 Move material by transfer equipment</dc:title>
  <dc:subject>Approved</dc:subject>
  <dc:creator>Skills Impact</dc:creator>
  <cp:keywords>Release: 1</cp:keywords>
  <dc:description>Review Date: 12 April 2008</dc:description>
  <cp:lastModifiedBy>HSD_TPCMSd.prod</cp:lastModifiedBy>
  <cp:revision>3</cp:revision>
  <dcterms:created xsi:type="dcterms:W3CDTF">2020-12-04T01:33:00Z</dcterms:created>
  <dcterms:modified xsi:type="dcterms:W3CDTF">2020-12-04T01:33:00Z</dcterms:modified>
</cp:coreProperties>
</file>