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142EC" w:rsidP="003142EC">
      <w:pPr>
        <w:pStyle w:val="Title"/>
      </w:pPr>
      <w:r>
        <w:fldChar w:fldCharType="begin"/>
      </w:r>
      <w:r>
        <w:instrText xml:space="preserve"> TITLE   \* MERGEFORMAT </w:instrText>
      </w:r>
      <w:r>
        <w:fldChar w:fldCharType="separate"/>
      </w:r>
      <w:r>
        <w:t>Assessment Requirements for FWPTMM3201 Convert timber</w:t>
      </w:r>
      <w:r>
        <w:fldChar w:fldCharType="end"/>
      </w:r>
    </w:p>
    <w:p w:rsidR="003142EC" w:rsidP="003142EC">
      <w:pPr>
        <w:pStyle w:val="Version"/>
        <w:sectPr w:rsidSect="00C921B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921BC" w:rsidP="00C921BC">
      <w:pPr>
        <w:pStyle w:val="SuperHeading"/>
      </w:pPr>
      <w:r w:rsidRPr="00C921BC">
        <w:t>Assessment Requirements for FWPTMM3201 Convert timber</w:t>
      </w:r>
    </w:p>
    <w:p w:rsidR="00000000" w:rsidRPr="00C921BC" w:rsidP="00C921BC">
      <w:pPr>
        <w:pStyle w:val="Heading1"/>
      </w:pPr>
      <w:bookmarkStart w:id="1" w:name="O_916408"/>
      <w:bookmarkEnd w:id="1"/>
      <w:r w:rsidRPr="00C921BC">
        <w:t>Modification History</w:t>
      </w:r>
    </w:p>
    <w:tbl>
      <w:tblPr>
        <w:tblW w:w="9632" w:type="dxa"/>
        <w:tblLayout w:type="fixed"/>
        <w:tblCellMar>
          <w:left w:w="62" w:type="dxa"/>
          <w:right w:w="62" w:type="dxa"/>
        </w:tblCellMar>
        <w:tblLook w:val="0000"/>
      </w:tblPr>
      <w:tblGrid>
        <w:gridCol w:w="2102"/>
        <w:gridCol w:w="7530"/>
      </w:tblGrid>
      <w:tr w:rsidTr="00C921BC">
        <w:tblPrEx>
          <w:tblW w:w="9632" w:type="dxa"/>
          <w:tblLayout w:type="fixed"/>
          <w:tblCellMar>
            <w:left w:w="62" w:type="dxa"/>
            <w:right w:w="62" w:type="dxa"/>
          </w:tblCellMar>
          <w:tblLook w:val="0000"/>
        </w:tblPrEx>
        <w:trPr>
          <w:trHeight w:val="469"/>
        </w:trPr>
        <w:tc>
          <w:tcPr>
            <w:tcW w:w="21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21BC" w:rsidP="00C921BC">
            <w:pPr>
              <w:pStyle w:val="BodyText"/>
            </w:pPr>
            <w:r w:rsidRPr="00C921BC">
              <w:rPr>
                <w:rStyle w:val="SpecialBold"/>
              </w:rPr>
              <w:t>Release</w:t>
            </w:r>
          </w:p>
        </w:tc>
        <w:tc>
          <w:tcPr>
            <w:tcW w:w="7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21BC">
            <w:pPr>
              <w:pStyle w:val="BodyText"/>
              <w:rPr>
                <w:lang w:val="en-NZ"/>
              </w:rPr>
            </w:pPr>
            <w:r w:rsidRPr="00C921BC">
              <w:rPr>
                <w:rStyle w:val="SpecialBold"/>
              </w:rPr>
              <w:t>Comment</w:t>
            </w:r>
          </w:p>
        </w:tc>
      </w:tr>
      <w:tr w:rsidTr="00C921BC">
        <w:tblPrEx>
          <w:tblW w:w="9632" w:type="dxa"/>
          <w:tblLayout w:type="fixed"/>
          <w:tblCellMar>
            <w:left w:w="62" w:type="dxa"/>
            <w:right w:w="62" w:type="dxa"/>
          </w:tblCellMar>
          <w:tblLook w:val="0000"/>
        </w:tblPrEx>
        <w:trPr>
          <w:trHeight w:val="250"/>
        </w:trPr>
        <w:tc>
          <w:tcPr>
            <w:tcW w:w="21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21BC">
            <w:pPr>
              <w:pStyle w:val="BodyText"/>
              <w:rPr>
                <w:lang w:val="en-NZ"/>
              </w:rPr>
            </w:pPr>
            <w:r w:rsidRPr="00C921BC">
              <w:t>1</w:t>
            </w:r>
          </w:p>
        </w:tc>
        <w:tc>
          <w:tcPr>
            <w:tcW w:w="7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21BC" w:rsidP="00C921BC">
            <w:pPr>
              <w:pStyle w:val="BodyText"/>
            </w:pPr>
            <w:r w:rsidRPr="00C921BC">
              <w:t>Replaces equivalent unit FPITMM3201B Convert timber, which was first released with FPI11 Forest and Forest Products Training Package Version 2.2. This is the first release of this unit in the new stan</w:t>
            </w:r>
            <w:r w:rsidRPr="00C921BC">
              <w:t>dards format.</w:t>
            </w:r>
          </w:p>
          <w:p w:rsidR="00000000" w:rsidRPr="00C921BC" w:rsidP="00C921BC">
            <w:pPr>
              <w:pStyle w:val="BodyText"/>
            </w:pPr>
            <w:r w:rsidRPr="00C921BC">
              <w:t>Assessment requirements now specify the performance and knowledge evidence, as well as assessment conditions for this unit of competency. These sections simplify and replace components used in the previous unit format, including Required Skil</w:t>
            </w:r>
            <w:r w:rsidRPr="00C921BC">
              <w:t>ls and Knowledge, Evidence Guide and Range Statement</w:t>
            </w:r>
          </w:p>
        </w:tc>
      </w:tr>
    </w:tbl>
    <w:p w:rsidR="00000000" w:rsidRPr="00C921BC" w:rsidP="00C921BC">
      <w:pPr>
        <w:pStyle w:val="BodyText"/>
      </w:pPr>
    </w:p>
    <w:p w:rsidR="00000000" w:rsidRPr="00C921BC" w:rsidP="00C921BC">
      <w:pPr>
        <w:pStyle w:val="AllowPageBreak"/>
      </w:pPr>
    </w:p>
    <w:p w:rsidR="00000000" w:rsidRPr="00C921BC" w:rsidP="00C921BC">
      <w:pPr>
        <w:pStyle w:val="Heading1"/>
      </w:pPr>
      <w:bookmarkStart w:id="2" w:name="O_916409"/>
      <w:bookmarkEnd w:id="2"/>
      <w:r w:rsidRPr="00C921BC">
        <w:t>Performance Evidence</w:t>
      </w:r>
    </w:p>
    <w:p w:rsidR="00000000" w:rsidRPr="00C921BC" w:rsidP="003142EC">
      <w:pPr>
        <w:pStyle w:val="BodyText"/>
      </w:pPr>
      <w:r w:rsidRPr="00C921BC">
        <w:t xml:space="preserve">A person demonstrating competency in this unit must satisfy all of the elements, performance criteria and foundation skills of this unit.  If a specific volume or </w:t>
      </w:r>
      <w:r w:rsidRPr="00C921BC">
        <w:t>frequency is not stated below, then evidence must be provided that the following requirements have been performed on at least one occasion:</w:t>
      </w:r>
    </w:p>
    <w:p w:rsidR="00000000" w:rsidRPr="00C921BC" w:rsidP="00C921BC">
      <w:pPr>
        <w:pStyle w:val="ListBullet"/>
      </w:pPr>
      <w:r w:rsidRPr="00C921BC">
        <w:t>follow organisational policies and practices relevant to converting timber of at least one of the following materia</w:t>
      </w:r>
      <w:r w:rsidRPr="00C921BC">
        <w:t>ls:</w:t>
      </w:r>
    </w:p>
    <w:p w:rsidR="00000000" w:rsidRPr="00C921BC" w:rsidP="00C921BC">
      <w:pPr>
        <w:pStyle w:val="ListBullet2"/>
      </w:pPr>
      <w:r w:rsidRPr="00C921BC">
        <w:t>native timber species</w:t>
      </w:r>
    </w:p>
    <w:p w:rsidR="00000000" w:rsidRPr="00C921BC" w:rsidP="00C921BC">
      <w:pPr>
        <w:pStyle w:val="ListBullet2"/>
      </w:pPr>
      <w:r w:rsidRPr="00C921BC">
        <w:t>imported timber species</w:t>
      </w:r>
    </w:p>
    <w:p w:rsidR="00000000" w:rsidRPr="00C921BC" w:rsidP="00C921BC">
      <w:pPr>
        <w:pStyle w:val="ListBullet2"/>
      </w:pPr>
      <w:r w:rsidRPr="00C921BC">
        <w:t>dressed timber</w:t>
      </w:r>
    </w:p>
    <w:p w:rsidR="00000000" w:rsidRPr="00C921BC" w:rsidP="00C921BC">
      <w:pPr>
        <w:pStyle w:val="ListBullet2"/>
      </w:pPr>
      <w:r w:rsidRPr="00C921BC">
        <w:t>in-the-rough timber</w:t>
      </w:r>
    </w:p>
    <w:p w:rsidR="00000000" w:rsidRPr="00C921BC" w:rsidP="00C921BC">
      <w:pPr>
        <w:pStyle w:val="ListBullet2"/>
      </w:pPr>
      <w:r w:rsidRPr="00C921BC">
        <w:t>green timber</w:t>
      </w:r>
    </w:p>
    <w:p w:rsidR="00000000" w:rsidRPr="00C921BC" w:rsidP="00C921BC">
      <w:pPr>
        <w:pStyle w:val="ListBullet2"/>
      </w:pPr>
      <w:r w:rsidRPr="00C921BC">
        <w:t>stress and non-stress graded timber</w:t>
      </w:r>
    </w:p>
    <w:p w:rsidR="00000000" w:rsidRPr="00C921BC" w:rsidP="00C921BC">
      <w:pPr>
        <w:pStyle w:val="ListBullet2"/>
      </w:pPr>
      <w:r w:rsidRPr="00C921BC">
        <w:t>preservative treated timber</w:t>
      </w:r>
    </w:p>
    <w:p w:rsidR="00000000" w:rsidRPr="00C921BC" w:rsidP="00C921BC">
      <w:pPr>
        <w:pStyle w:val="ListBullet2"/>
      </w:pPr>
      <w:r w:rsidRPr="00C921BC">
        <w:t>coated and/or treated timber products</w:t>
      </w:r>
    </w:p>
    <w:p w:rsidR="00000000" w:rsidRPr="00C921BC" w:rsidP="00C921BC">
      <w:pPr>
        <w:pStyle w:val="ListBullet2"/>
      </w:pPr>
      <w:r w:rsidRPr="00C921BC">
        <w:t>beams or laminated beams</w:t>
      </w:r>
    </w:p>
    <w:p w:rsidR="00000000" w:rsidRPr="00C921BC" w:rsidP="00C921BC">
      <w:pPr>
        <w:pStyle w:val="ListBullet"/>
      </w:pPr>
      <w:r w:rsidRPr="00C921BC">
        <w:t>cut material to width and thickness in line with work order and within prescribed organisational tolerances</w:t>
      </w:r>
    </w:p>
    <w:p w:rsidR="00000000" w:rsidRPr="00C921BC" w:rsidP="00C921BC">
      <w:pPr>
        <w:pStyle w:val="ListBullet"/>
      </w:pPr>
      <w:r w:rsidRPr="00C921BC">
        <w:t>conduct operator maintenance on an automatic feed controlled rip saw</w:t>
      </w:r>
    </w:p>
    <w:p w:rsidR="00000000" w:rsidRPr="00C921BC" w:rsidP="00C921BC">
      <w:pPr>
        <w:pStyle w:val="ListBullet"/>
      </w:pPr>
      <w:r w:rsidRPr="00C921BC">
        <w:t xml:space="preserve">stack batches of cut material in line with organizational requirements and OHS </w:t>
      </w:r>
      <w:r w:rsidRPr="00C921BC">
        <w:t>regulations</w:t>
      </w:r>
    </w:p>
    <w:p w:rsidR="00000000" w:rsidRPr="00C921BC" w:rsidP="00C921BC">
      <w:pPr>
        <w:pStyle w:val="AllowPageBreak"/>
      </w:pPr>
    </w:p>
    <w:p w:rsidR="00000000" w:rsidRPr="00C921BC" w:rsidP="00C921BC">
      <w:pPr>
        <w:pStyle w:val="Heading1"/>
      </w:pPr>
      <w:bookmarkStart w:id="3" w:name="O_916410"/>
      <w:bookmarkEnd w:id="3"/>
      <w:r w:rsidRPr="00C921BC">
        <w:t>Knowledge Evidence</w:t>
      </w:r>
    </w:p>
    <w:p w:rsidR="00000000" w:rsidRPr="00C921BC" w:rsidP="003142EC">
      <w:pPr>
        <w:pStyle w:val="BodyText"/>
      </w:pPr>
      <w:r w:rsidRPr="00C921BC">
        <w:t>A person competent in this unit must be able to demonstrate knowledge of:</w:t>
      </w:r>
    </w:p>
    <w:p w:rsidR="00000000" w:rsidRPr="00C921BC" w:rsidP="00C921BC">
      <w:pPr>
        <w:pStyle w:val="ListBullet"/>
      </w:pPr>
      <w:r w:rsidRPr="00C921BC">
        <w:t>timber conversion processes including:</w:t>
      </w:r>
    </w:p>
    <w:p w:rsidR="00000000" w:rsidRPr="00C921BC" w:rsidP="00C921BC">
      <w:pPr>
        <w:pStyle w:val="ListBullet2"/>
      </w:pPr>
      <w:r w:rsidRPr="00C921BC">
        <w:t>re-sawing in-the-rough boards to optimize single boards through cutting away waste edges</w:t>
      </w:r>
    </w:p>
    <w:p w:rsidR="00000000" w:rsidRPr="00C921BC" w:rsidP="00C921BC">
      <w:pPr>
        <w:pStyle w:val="ListBullet2"/>
      </w:pPr>
      <w:r w:rsidRPr="00C921BC">
        <w:t>c</w:t>
      </w:r>
      <w:r w:rsidRPr="00C921BC">
        <w:t>utting boards into two or more boards thereby maximizing the amount of product in line with the work order</w:t>
      </w:r>
    </w:p>
    <w:p w:rsidR="00000000" w:rsidRPr="00C921BC" w:rsidP="00C921BC">
      <w:pPr>
        <w:pStyle w:val="ListBullet2"/>
      </w:pPr>
      <w:r w:rsidRPr="00C921BC">
        <w:t>saw set up including setting depth, width and thickness of cut measured from the fence in line with product order and allowing for kerf (width of saw</w:t>
      </w:r>
      <w:r w:rsidRPr="00C921BC">
        <w:t xml:space="preserve"> cut)</w:t>
      </w:r>
    </w:p>
    <w:p w:rsidR="00000000" w:rsidRPr="00C921BC" w:rsidP="00C921BC">
      <w:pPr>
        <w:pStyle w:val="ListBullet"/>
      </w:pPr>
      <w:r w:rsidRPr="00C921BC">
        <w:t>storage layout and categories for:</w:t>
      </w:r>
    </w:p>
    <w:p w:rsidR="00000000" w:rsidRPr="00C921BC" w:rsidP="00C921BC">
      <w:pPr>
        <w:pStyle w:val="ListBullet2"/>
      </w:pPr>
      <w:r w:rsidRPr="00C921BC">
        <w:t>raw materials</w:t>
      </w:r>
    </w:p>
    <w:p w:rsidR="00000000" w:rsidRPr="00C921BC" w:rsidP="00C921BC">
      <w:pPr>
        <w:pStyle w:val="ListBullet2"/>
      </w:pPr>
      <w:r w:rsidRPr="00C921BC">
        <w:t>stacking finished materials, including</w:t>
      </w:r>
    </w:p>
    <w:p w:rsidR="00000000" w:rsidRPr="00C921BC" w:rsidP="00C921BC">
      <w:pPr>
        <w:pStyle w:val="ListBullet3"/>
      </w:pPr>
      <w:r w:rsidRPr="00C921BC">
        <w:t>preparing for transport</w:t>
      </w:r>
    </w:p>
    <w:p w:rsidR="00000000" w:rsidRPr="00C921BC" w:rsidP="00C921BC">
      <w:pPr>
        <w:pStyle w:val="ListBullet3"/>
      </w:pPr>
      <w:r w:rsidRPr="00C921BC">
        <w:t>categorizing in common size, length, width and thickness</w:t>
      </w:r>
    </w:p>
    <w:p w:rsidR="00000000" w:rsidRPr="00C921BC" w:rsidP="00C921BC">
      <w:pPr>
        <w:pStyle w:val="ListBullet3"/>
      </w:pPr>
      <w:r w:rsidRPr="00C921BC">
        <w:t>marking lots in line with work order and site requirements</w:t>
      </w:r>
    </w:p>
    <w:p w:rsidR="00000000" w:rsidRPr="00C921BC" w:rsidP="00C921BC">
      <w:pPr>
        <w:pStyle w:val="ListBullet3"/>
      </w:pPr>
      <w:r w:rsidRPr="00C921BC">
        <w:t>locating so as not to block access or passage</w:t>
      </w:r>
    </w:p>
    <w:p w:rsidR="00000000" w:rsidRPr="00C921BC" w:rsidP="00C921BC">
      <w:pPr>
        <w:pStyle w:val="ListBullet"/>
      </w:pPr>
      <w:r w:rsidRPr="00C921BC">
        <w:t>characteristics of timber and timber defects including:</w:t>
      </w:r>
    </w:p>
    <w:p w:rsidR="00000000" w:rsidRPr="00C921BC" w:rsidP="00C921BC">
      <w:pPr>
        <w:pStyle w:val="ListBullet2"/>
      </w:pPr>
      <w:r w:rsidRPr="00C921BC">
        <w:t>warp</w:t>
      </w:r>
    </w:p>
    <w:p w:rsidR="00000000" w:rsidRPr="00C921BC" w:rsidP="00C921BC">
      <w:pPr>
        <w:pStyle w:val="ListBullet2"/>
      </w:pPr>
      <w:r w:rsidRPr="00C921BC">
        <w:t>wane</w:t>
      </w:r>
    </w:p>
    <w:p w:rsidR="00000000" w:rsidRPr="00C921BC" w:rsidP="00C921BC">
      <w:pPr>
        <w:pStyle w:val="ListBullet2"/>
      </w:pPr>
      <w:r w:rsidRPr="00C921BC">
        <w:t>cupping</w:t>
      </w:r>
    </w:p>
    <w:p w:rsidR="00000000" w:rsidRPr="00C921BC" w:rsidP="00C921BC">
      <w:pPr>
        <w:pStyle w:val="ListBullet2"/>
      </w:pPr>
      <w:r w:rsidRPr="00C921BC">
        <w:t>shakes</w:t>
      </w:r>
    </w:p>
    <w:p w:rsidR="00000000" w:rsidRPr="00C921BC" w:rsidP="00C921BC">
      <w:pPr>
        <w:pStyle w:val="ListBullet2"/>
      </w:pPr>
      <w:r w:rsidRPr="00C921BC">
        <w:t>insect defects</w:t>
      </w:r>
    </w:p>
    <w:p w:rsidR="00000000" w:rsidRPr="00C921BC" w:rsidP="00C921BC">
      <w:pPr>
        <w:pStyle w:val="ListBullet2"/>
      </w:pPr>
      <w:r w:rsidRPr="00C921BC">
        <w:t xml:space="preserve">knots </w:t>
      </w:r>
    </w:p>
    <w:p w:rsidR="00000000" w:rsidRPr="00C921BC" w:rsidP="00C921BC">
      <w:pPr>
        <w:pStyle w:val="ListBullet2"/>
      </w:pPr>
      <w:r w:rsidRPr="00C921BC">
        <w:t>resin pockets</w:t>
      </w:r>
    </w:p>
    <w:p w:rsidR="00000000" w:rsidRPr="00C921BC" w:rsidP="00C921BC">
      <w:pPr>
        <w:pStyle w:val="ListBullet"/>
      </w:pPr>
      <w:r w:rsidRPr="00C921BC">
        <w:t>cutting patterns and sequences</w:t>
      </w:r>
    </w:p>
    <w:p w:rsidR="00000000" w:rsidRPr="00C921BC" w:rsidP="00C921BC">
      <w:pPr>
        <w:pStyle w:val="ListBullet"/>
      </w:pPr>
      <w:r w:rsidRPr="00C921BC">
        <w:t>tolerances</w:t>
      </w:r>
    </w:p>
    <w:p w:rsidR="00000000" w:rsidRPr="00C921BC" w:rsidP="00C921BC">
      <w:pPr>
        <w:pStyle w:val="ListBullet"/>
      </w:pPr>
      <w:r w:rsidRPr="00C921BC">
        <w:t>saw feed rates</w:t>
      </w:r>
    </w:p>
    <w:p w:rsidR="00000000" w:rsidRPr="00C921BC" w:rsidP="00C921BC">
      <w:pPr>
        <w:pStyle w:val="ListBullet"/>
      </w:pPr>
      <w:r w:rsidRPr="00C921BC">
        <w:t>industry standard cross-sections and lengths</w:t>
      </w:r>
    </w:p>
    <w:p w:rsidR="00000000" w:rsidRPr="00C921BC" w:rsidP="00C921BC">
      <w:pPr>
        <w:pStyle w:val="ListBullet"/>
      </w:pPr>
      <w:r w:rsidRPr="00C921BC">
        <w:t>types of conversion tools and equipment; their purpose, features, operation and basic non-specialist repair and maintenance:</w:t>
      </w:r>
    </w:p>
    <w:p w:rsidR="00000000" w:rsidRPr="00C921BC" w:rsidP="00C921BC">
      <w:pPr>
        <w:pStyle w:val="ListBullet2"/>
      </w:pPr>
      <w:r w:rsidRPr="00C921BC">
        <w:t>measuring equipment</w:t>
      </w:r>
    </w:p>
    <w:p w:rsidR="00000000" w:rsidRPr="00C921BC" w:rsidP="00C921BC">
      <w:pPr>
        <w:pStyle w:val="ListBullet2"/>
      </w:pPr>
      <w:r w:rsidRPr="00C921BC">
        <w:t>automatic feed controlled ripping saws</w:t>
      </w:r>
    </w:p>
    <w:p w:rsidR="00000000" w:rsidRPr="00C921BC" w:rsidP="00C921BC">
      <w:pPr>
        <w:pStyle w:val="ListBullet2"/>
      </w:pPr>
      <w:r w:rsidRPr="00C921BC">
        <w:t>saws with adjustable thick</w:t>
      </w:r>
      <w:r w:rsidRPr="00C921BC">
        <w:t>ness (sloping table)</w:t>
      </w:r>
    </w:p>
    <w:p w:rsidR="00000000" w:rsidRPr="00C921BC" w:rsidP="00C921BC">
      <w:pPr>
        <w:pStyle w:val="ListBullet2"/>
      </w:pPr>
      <w:r w:rsidRPr="00C921BC">
        <w:t>saws with one blade</w:t>
      </w:r>
    </w:p>
    <w:p w:rsidR="00000000" w:rsidRPr="00C921BC" w:rsidP="00C921BC">
      <w:pPr>
        <w:pStyle w:val="ListBullet2"/>
      </w:pPr>
      <w:r w:rsidRPr="00C921BC">
        <w:t>rip saws</w:t>
      </w:r>
    </w:p>
    <w:p w:rsidR="00000000" w:rsidRPr="00C921BC" w:rsidP="00C921BC">
      <w:pPr>
        <w:pStyle w:val="ListBullet2"/>
      </w:pPr>
      <w:r w:rsidRPr="00C921BC">
        <w:t>table saws</w:t>
      </w:r>
    </w:p>
    <w:p w:rsidR="00000000" w:rsidRPr="00C921BC" w:rsidP="00C921BC">
      <w:pPr>
        <w:pStyle w:val="ListBullet2"/>
      </w:pPr>
      <w:r w:rsidRPr="00C921BC">
        <w:t>bench saws</w:t>
      </w:r>
    </w:p>
    <w:p w:rsidR="00000000" w:rsidRPr="00C921BC" w:rsidP="00C921BC">
      <w:pPr>
        <w:pStyle w:val="ListBullet"/>
      </w:pPr>
      <w:r w:rsidRPr="00C921BC">
        <w:t>methods for assessing saw blade condition</w:t>
      </w:r>
    </w:p>
    <w:p w:rsidR="00000000" w:rsidRPr="00C921BC" w:rsidP="00C921BC">
      <w:pPr>
        <w:pStyle w:val="ListBullet"/>
      </w:pPr>
      <w:r w:rsidRPr="00C921BC">
        <w:t>environmental protection practices for forest products factory settings:</w:t>
      </w:r>
    </w:p>
    <w:p w:rsidR="00000000" w:rsidRPr="00C921BC" w:rsidP="00C921BC">
      <w:pPr>
        <w:pStyle w:val="ListBullet2"/>
      </w:pPr>
      <w:r w:rsidRPr="00C921BC">
        <w:t>reducing water and energy use</w:t>
      </w:r>
    </w:p>
    <w:p w:rsidR="00000000" w:rsidRPr="00C921BC" w:rsidP="00C921BC">
      <w:pPr>
        <w:pStyle w:val="ListBullet2"/>
      </w:pPr>
      <w:r w:rsidRPr="00C921BC">
        <w:t>cleaning of plant, tools and equipment</w:t>
      </w:r>
    </w:p>
    <w:p w:rsidR="00000000" w:rsidRPr="00C921BC" w:rsidP="00C921BC">
      <w:pPr>
        <w:pStyle w:val="ListBullet2"/>
      </w:pPr>
      <w:r w:rsidRPr="00C921BC">
        <w:t>disposing of, recycling and reusing timber and other waste</w:t>
      </w:r>
    </w:p>
    <w:p w:rsidR="00000000" w:rsidRPr="00C921BC" w:rsidP="00C921BC">
      <w:pPr>
        <w:pStyle w:val="ListBullet"/>
      </w:pPr>
      <w:r w:rsidRPr="00C921BC">
        <w:t>organisational procedures specific to conversion activities:</w:t>
      </w:r>
    </w:p>
    <w:p w:rsidR="00000000" w:rsidRPr="00C921BC" w:rsidP="00C921BC">
      <w:pPr>
        <w:pStyle w:val="ListBullet2"/>
      </w:pPr>
      <w:r w:rsidRPr="00C921BC">
        <w:t>workplace health and safety with particular emphasis on equipment lock out</w:t>
      </w:r>
    </w:p>
    <w:p w:rsidR="00000000" w:rsidRPr="00C921BC" w:rsidP="00C921BC">
      <w:pPr>
        <w:pStyle w:val="ListBullet2"/>
      </w:pPr>
      <w:r w:rsidRPr="00C921BC">
        <w:t xml:space="preserve">use and maintenance </w:t>
      </w:r>
      <w:r w:rsidRPr="00C921BC">
        <w:t>of equipment</w:t>
      </w:r>
    </w:p>
    <w:p w:rsidR="00000000" w:rsidRPr="00C921BC" w:rsidP="00C921BC">
      <w:pPr>
        <w:pStyle w:val="ListBullet2"/>
      </w:pPr>
      <w:r w:rsidRPr="00C921BC">
        <w:t>communication reporting lines</w:t>
      </w:r>
    </w:p>
    <w:p w:rsidR="00000000" w:rsidRPr="00C921BC" w:rsidP="00C921BC">
      <w:pPr>
        <w:pStyle w:val="ListBullet2"/>
      </w:pPr>
      <w:r w:rsidRPr="00C921BC">
        <w:t>recording and reporting cutting process and equipment faults.</w:t>
      </w:r>
    </w:p>
    <w:p w:rsidR="00000000" w:rsidRPr="00C921BC" w:rsidP="00C921BC">
      <w:pPr>
        <w:pStyle w:val="AllowPageBreak"/>
      </w:pPr>
    </w:p>
    <w:p w:rsidR="00000000" w:rsidRPr="00C921BC" w:rsidP="00C921BC">
      <w:pPr>
        <w:pStyle w:val="Heading1"/>
      </w:pPr>
      <w:bookmarkStart w:id="4" w:name="O_916411"/>
      <w:bookmarkEnd w:id="4"/>
      <w:r w:rsidRPr="00C921BC">
        <w:t>Assessment Conditions</w:t>
      </w:r>
    </w:p>
    <w:p w:rsidR="00000000" w:rsidRPr="00C921BC" w:rsidP="003142EC">
      <w:pPr>
        <w:pStyle w:val="BodyText"/>
      </w:pPr>
      <w:r w:rsidRPr="00C921BC">
        <w:t>The following resources must be made available:</w:t>
      </w:r>
    </w:p>
    <w:p w:rsidR="00000000" w:rsidRPr="00C921BC" w:rsidP="00C921BC">
      <w:pPr>
        <w:pStyle w:val="ListBullet"/>
      </w:pPr>
      <w:r w:rsidRPr="00C921BC">
        <w:t>one or more of the following items of conversion equipment:</w:t>
      </w:r>
    </w:p>
    <w:p w:rsidR="00000000" w:rsidRPr="00C921BC" w:rsidP="00C921BC">
      <w:pPr>
        <w:pStyle w:val="ListBullet2"/>
      </w:pPr>
      <w:r w:rsidRPr="00C921BC">
        <w:t>automatic feed controlled ripping saws</w:t>
      </w:r>
    </w:p>
    <w:p w:rsidR="00000000" w:rsidRPr="00C921BC" w:rsidP="00C921BC">
      <w:pPr>
        <w:pStyle w:val="ListBullet2"/>
      </w:pPr>
      <w:r w:rsidRPr="00C921BC">
        <w:t>saws with adjustable thickness (sloping table)</w:t>
      </w:r>
    </w:p>
    <w:p w:rsidR="00000000" w:rsidRPr="00C921BC" w:rsidP="00C921BC">
      <w:pPr>
        <w:pStyle w:val="ListBullet2"/>
      </w:pPr>
      <w:r w:rsidRPr="00C921BC">
        <w:t>saws with one blade</w:t>
      </w:r>
    </w:p>
    <w:p w:rsidR="00000000" w:rsidRPr="00C921BC" w:rsidP="00C921BC">
      <w:pPr>
        <w:pStyle w:val="ListBullet2"/>
      </w:pPr>
      <w:r w:rsidRPr="00C921BC">
        <w:t>rip saws</w:t>
      </w:r>
    </w:p>
    <w:p w:rsidR="00000000" w:rsidRPr="00C921BC" w:rsidP="00C921BC">
      <w:pPr>
        <w:pStyle w:val="ListBullet2"/>
      </w:pPr>
      <w:r w:rsidRPr="00C921BC">
        <w:t>table saws</w:t>
      </w:r>
    </w:p>
    <w:p w:rsidR="00000000" w:rsidRPr="00C921BC" w:rsidP="00C921BC">
      <w:pPr>
        <w:pStyle w:val="ListBullet2"/>
      </w:pPr>
      <w:r w:rsidRPr="00C921BC">
        <w:t>bench saws</w:t>
      </w:r>
    </w:p>
    <w:p w:rsidR="00000000" w:rsidRPr="00C921BC" w:rsidP="00C921BC">
      <w:pPr>
        <w:pStyle w:val="ListBullet"/>
      </w:pPr>
      <w:r w:rsidRPr="00C921BC">
        <w:t>measuring equipment</w:t>
      </w:r>
    </w:p>
    <w:p w:rsidR="00000000" w:rsidRPr="00C921BC" w:rsidP="00C921BC">
      <w:pPr>
        <w:pStyle w:val="ListBullet"/>
      </w:pPr>
      <w:r w:rsidRPr="00C921BC">
        <w:t>maintenance tools and equipment for saws</w:t>
      </w:r>
    </w:p>
    <w:p w:rsidR="00000000" w:rsidRPr="00C921BC" w:rsidP="00C921BC">
      <w:pPr>
        <w:pStyle w:val="ListBullet"/>
      </w:pPr>
      <w:r w:rsidRPr="00C921BC">
        <w:t>consumable components; saw blades</w:t>
      </w:r>
    </w:p>
    <w:p w:rsidR="00000000" w:rsidRPr="00C921BC" w:rsidP="00C921BC">
      <w:pPr>
        <w:pStyle w:val="ListBullet"/>
      </w:pPr>
      <w:r w:rsidRPr="00C921BC">
        <w:t>a diverse, comprehensiv</w:t>
      </w:r>
      <w:r w:rsidRPr="00C921BC">
        <w:t>e and commercial product range of timber</w:t>
      </w:r>
    </w:p>
    <w:p w:rsidR="00000000" w:rsidRPr="00C921BC" w:rsidP="00C921BC">
      <w:pPr>
        <w:pStyle w:val="ListBullet"/>
      </w:pPr>
      <w:r w:rsidRPr="00C921BC">
        <w:t>personal protective equipment suitable for conversion activities</w:t>
      </w:r>
    </w:p>
    <w:p w:rsidR="00000000" w:rsidRPr="00C921BC" w:rsidP="00C921BC">
      <w:pPr>
        <w:pStyle w:val="ListBullet"/>
      </w:pPr>
      <w:r w:rsidRPr="00C921BC">
        <w:t>manufacturers’ instructions for use and maintenance of equipment</w:t>
      </w:r>
    </w:p>
    <w:p w:rsidR="00000000" w:rsidRPr="00C921BC" w:rsidP="00C921BC">
      <w:pPr>
        <w:pStyle w:val="ListBullet"/>
      </w:pPr>
      <w:r w:rsidRPr="00C921BC">
        <w:t>work order for conversion activities with specific instructions for the cutting and s</w:t>
      </w:r>
      <w:r w:rsidRPr="00C921BC">
        <w:t xml:space="preserve">torage of timber and timber products </w:t>
      </w:r>
    </w:p>
    <w:p w:rsidR="00000000" w:rsidRPr="00C921BC" w:rsidP="00C921BC">
      <w:pPr>
        <w:pStyle w:val="ListBullet"/>
      </w:pPr>
      <w:r w:rsidRPr="00C921BC">
        <w:t>template reports for recording processing and equipment faults</w:t>
      </w:r>
    </w:p>
    <w:p w:rsidR="00000000" w:rsidRPr="00C921BC" w:rsidP="00C921BC">
      <w:pPr>
        <w:pStyle w:val="ListBullet"/>
      </w:pPr>
      <w:r w:rsidRPr="00C921BC">
        <w:t>relevant personnel for the purposes of communicating information</w:t>
      </w:r>
    </w:p>
    <w:p w:rsidR="00000000" w:rsidRPr="00C921BC" w:rsidP="00C921BC">
      <w:pPr>
        <w:pStyle w:val="ListBullet"/>
      </w:pPr>
      <w:r w:rsidRPr="00C921BC">
        <w:t>organisational procedures for conversion activities.</w:t>
      </w:r>
    </w:p>
    <w:p w:rsidR="00000000" w:rsidRPr="00C921BC" w:rsidP="00C921BC">
      <w:pPr>
        <w:pStyle w:val="BodyText"/>
      </w:pPr>
    </w:p>
    <w:p w:rsidR="00000000" w:rsidRPr="00C921BC" w:rsidP="003142EC">
      <w:pPr>
        <w:pStyle w:val="BodyText"/>
      </w:pPr>
      <w:r w:rsidRPr="00C921BC">
        <w:t xml:space="preserve">Competency is to be assessed in the workplace or a simulated environment that accurately reflects performance in a real workplace setting. </w:t>
      </w:r>
    </w:p>
    <w:p w:rsidR="00000000" w:rsidRPr="00C921BC" w:rsidP="003142EC">
      <w:pPr>
        <w:pStyle w:val="Heading3"/>
      </w:pPr>
      <w:r w:rsidRPr="00C921BC">
        <w:rPr>
          <w:rStyle w:val="SpecialBold"/>
        </w:rPr>
        <w:t>Assessor requirements</w:t>
      </w:r>
    </w:p>
    <w:p w:rsidR="00000000" w:rsidRPr="00C921BC" w:rsidP="003142EC">
      <w:pPr>
        <w:pStyle w:val="BodyText"/>
      </w:pPr>
      <w:r w:rsidRPr="00C921BC">
        <w:t>Assessors must:</w:t>
      </w:r>
    </w:p>
    <w:p w:rsidR="00000000" w:rsidRPr="00C921BC" w:rsidP="00C921BC">
      <w:pPr>
        <w:pStyle w:val="ListBullet"/>
      </w:pPr>
      <w:r w:rsidRPr="00C921BC">
        <w:t>hold the appropriate assessor competency standards as outlined in regulation</w:t>
      </w:r>
      <w:r w:rsidRPr="00C921BC">
        <w:t>s; and</w:t>
      </w:r>
    </w:p>
    <w:p w:rsidR="00000000" w:rsidRPr="00C921BC" w:rsidP="00C921BC">
      <w:pPr>
        <w:pStyle w:val="ListBullet"/>
      </w:pPr>
      <w:r w:rsidRPr="00C921BC">
        <w:t>be able to demonstrate vocational competencies at least to the level being assessed; and</w:t>
      </w:r>
    </w:p>
    <w:p w:rsidR="003142EC" w:rsidP="00C921BC">
      <w:pPr>
        <w:pStyle w:val="ListBullet"/>
      </w:pPr>
      <w:r w:rsidRPr="00C921BC">
        <w:t>be able to demonstrate how they are continuing to develop their VET knowledge and skills as well as maintaining their industry currency and assessor competence</w:t>
      </w:r>
    </w:p>
    <w:p w:rsidR="003142EC" w:rsidP="00C921BC">
      <w:pPr>
        <w:pStyle w:val="ListBullet"/>
      </w:pPr>
    </w:p>
    <w:p w:rsidR="00000000" w:rsidRPr="00C921BC" w:rsidP="00C921BC">
      <w:pPr>
        <w:pStyle w:val="Heading1"/>
      </w:pPr>
      <w:bookmarkStart w:id="5" w:name="O_916414"/>
      <w:bookmarkEnd w:id="5"/>
      <w:r w:rsidRPr="00C921BC">
        <w:t>Links</w:t>
      </w:r>
    </w:p>
    <w:p w:rsidR="00000000" w:rsidRPr="00C921BC" w:rsidP="003142EC">
      <w:pPr>
        <w:pStyle w:val="BodyText"/>
      </w:pPr>
      <w:r w:rsidRPr="00C921BC">
        <w:t xml:space="preserve">Companion Volume implementation guides are found in VETNet - </w:t>
      </w:r>
      <w:r>
        <w:fldChar w:fldCharType="begin"/>
      </w:r>
      <w:r>
        <w:instrText xml:space="preserve"> HYPERLINK "https://vetnet.education.gov.au/Pages/TrainingDocs.aspx?q=0d96fe23-5747-4c01-9d6f-3509ff8d3d47" </w:instrText>
      </w:r>
      <w:r>
        <w:fldChar w:fldCharType="separate"/>
      </w:r>
      <w:r w:rsidRPr="003F10A0">
        <w:rPr>
          <w:rStyle w:val="Hyperlink"/>
        </w:rPr>
        <w:t>https://vetnet.education.gov.au/Pages/TrainingDocs.aspx?q=0d96fe23-5747-4c01-9d6f-3509ff8d3d47</w:t>
      </w:r>
      <w:r>
        <w:fldChar w:fldCharType="end"/>
      </w:r>
    </w:p>
    <w:p w:rsidR="00000000" w:rsidRPr="00C921BC" w:rsidP="00C921BC"/>
    <w:sectPr w:rsidSect="00C921B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21B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21BC" w:rsidRPr="003142EC" w:rsidP="003142E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21B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42EC" w:rsidP="00C921B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3142EC" w:rsidP="00C921BC">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Skills Impact</w:t>
    </w:r>
    <w:r>
      <w:fldChar w:fldCharType="end"/>
    </w:r>
  </w:p>
  <w:p w:rsidR="003142EC" w:rsidP="00C921B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21B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42E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921BC" w:rsidRPr="003142EC" w:rsidP="003142E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21B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42EC" w:rsidRPr="002D2AF8" w:rsidP="00C921BC">
    <w:pPr>
      <w:pStyle w:val="Header"/>
      <w:framePr w:wrap="around"/>
    </w:pPr>
    <w:r>
      <w:fldChar w:fldCharType="begin"/>
    </w:r>
    <w:r>
      <w:instrText xml:space="preserve"> TITLE   \* MERGEFORMAT </w:instrText>
    </w:r>
    <w:r>
      <w:fldChar w:fldCharType="separate"/>
    </w:r>
    <w:r>
      <w:t>Assessment Requirements for FWPTMM3201 Convert timber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December 2018</w:t>
    </w:r>
    <w:r>
      <w:fldChar w:fldCharType="end"/>
    </w:r>
  </w:p>
  <w:p w:rsidR="003142EC" w:rsidP="00C921B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40A456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8A2472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FE42E7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21B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921BC"/>
    <w:pPr>
      <w:spacing w:before="360" w:after="60"/>
      <w:outlineLvl w:val="0"/>
    </w:pPr>
    <w:rPr>
      <w:sz w:val="32"/>
    </w:rPr>
  </w:style>
  <w:style w:type="paragraph" w:styleId="Heading2">
    <w:name w:val="heading 2"/>
    <w:basedOn w:val="HeadingBase"/>
    <w:next w:val="BodyText"/>
    <w:link w:val="Heading2Char"/>
    <w:qFormat/>
    <w:rsid w:val="00C921BC"/>
    <w:pPr>
      <w:keepLines/>
      <w:spacing w:before="240" w:after="120"/>
      <w:outlineLvl w:val="1"/>
    </w:pPr>
    <w:rPr>
      <w:sz w:val="28"/>
      <w:szCs w:val="40"/>
    </w:rPr>
  </w:style>
  <w:style w:type="paragraph" w:styleId="Heading3">
    <w:name w:val="heading 3"/>
    <w:basedOn w:val="HeadingBase"/>
    <w:next w:val="BodyText"/>
    <w:link w:val="Heading3Char"/>
    <w:qFormat/>
    <w:rsid w:val="00C921BC"/>
    <w:pPr>
      <w:spacing w:before="180" w:after="120"/>
      <w:outlineLvl w:val="2"/>
    </w:pPr>
    <w:rPr>
      <w:spacing w:val="-10"/>
      <w:kern w:val="32"/>
    </w:rPr>
  </w:style>
  <w:style w:type="paragraph" w:styleId="Heading4">
    <w:name w:val="heading 4"/>
    <w:basedOn w:val="HeadingBase"/>
    <w:next w:val="BodyText"/>
    <w:link w:val="Heading4Char"/>
    <w:qFormat/>
    <w:rsid w:val="00C921BC"/>
    <w:pPr>
      <w:spacing w:before="160" w:after="120"/>
      <w:outlineLvl w:val="3"/>
    </w:pPr>
    <w:rPr>
      <w:sz w:val="22"/>
    </w:rPr>
  </w:style>
  <w:style w:type="paragraph" w:styleId="Heading5">
    <w:name w:val="heading 5"/>
    <w:basedOn w:val="HeadingBase"/>
    <w:next w:val="Normal"/>
    <w:link w:val="Heading5Char"/>
    <w:qFormat/>
    <w:rsid w:val="00C921BC"/>
    <w:pPr>
      <w:spacing w:before="80"/>
      <w:outlineLvl w:val="4"/>
    </w:pPr>
    <w:rPr>
      <w:color w:val="918585"/>
      <w:sz w:val="20"/>
    </w:rPr>
  </w:style>
  <w:style w:type="paragraph" w:styleId="Heading6">
    <w:name w:val="heading 6"/>
    <w:basedOn w:val="HeadingBase"/>
    <w:next w:val="Normal"/>
    <w:link w:val="Heading6Char"/>
    <w:qFormat/>
    <w:rsid w:val="00C921BC"/>
    <w:pPr>
      <w:spacing w:before="60"/>
      <w:outlineLvl w:val="5"/>
    </w:pPr>
    <w:rPr>
      <w:color w:val="918585"/>
      <w:sz w:val="20"/>
    </w:rPr>
  </w:style>
  <w:style w:type="paragraph" w:styleId="Heading7">
    <w:name w:val="heading 7"/>
    <w:basedOn w:val="Normal"/>
    <w:next w:val="Normal"/>
    <w:link w:val="Heading7Char"/>
    <w:qFormat/>
    <w:rsid w:val="00C921BC"/>
    <w:pPr>
      <w:ind w:left="720"/>
      <w:outlineLvl w:val="6"/>
    </w:pPr>
    <w:rPr>
      <w:i/>
    </w:rPr>
  </w:style>
  <w:style w:type="paragraph" w:styleId="Heading8">
    <w:name w:val="heading 8"/>
    <w:basedOn w:val="Normal"/>
    <w:next w:val="Normal"/>
    <w:link w:val="Heading8Char"/>
    <w:qFormat/>
    <w:rsid w:val="00C921BC"/>
    <w:pPr>
      <w:ind w:left="720"/>
      <w:outlineLvl w:val="7"/>
    </w:pPr>
    <w:rPr>
      <w:i/>
    </w:rPr>
  </w:style>
  <w:style w:type="paragraph" w:styleId="Heading9">
    <w:name w:val="heading 9"/>
    <w:basedOn w:val="Normal"/>
    <w:next w:val="Normal"/>
    <w:link w:val="Heading9Char"/>
    <w:qFormat/>
    <w:rsid w:val="00C921BC"/>
    <w:pPr>
      <w:ind w:left="720"/>
      <w:outlineLvl w:val="8"/>
    </w:pPr>
    <w:rPr>
      <w:i/>
    </w:rPr>
  </w:style>
  <w:style w:type="character" w:default="1" w:styleId="DefaultParagraphFont">
    <w:name w:val="Default Paragraph Font"/>
    <w:uiPriority w:val="1"/>
    <w:unhideWhenUsed/>
    <w:rsid w:val="00C921B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921BC"/>
  </w:style>
  <w:style w:type="character" w:customStyle="1" w:styleId="Heading1Char">
    <w:name w:val="Heading 1 Char"/>
    <w:basedOn w:val="DefaultParagraphFont"/>
    <w:link w:val="Heading1"/>
    <w:rsid w:val="00C921BC"/>
    <w:rPr>
      <w:rFonts w:ascii="Times New Roman" w:eastAsia="Times New Roman" w:hAnsi="Times New Roman" w:cs="Times New Roman"/>
      <w:b/>
      <w:sz w:val="32"/>
      <w:szCs w:val="20"/>
      <w:lang w:eastAsia="en-US"/>
    </w:rPr>
  </w:style>
  <w:style w:type="paragraph" w:styleId="BodyText">
    <w:name w:val="Body Text"/>
    <w:basedOn w:val="Normal"/>
    <w:link w:val="BodyTextChar"/>
    <w:rsid w:val="00C921B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921BC"/>
    <w:rPr>
      <w:rFonts w:ascii="Times New Roman" w:eastAsia="Times New Roman" w:hAnsi="Times New Roman" w:cs="Times New Roman"/>
      <w:sz w:val="24"/>
      <w:lang w:eastAsia="en-US"/>
    </w:rPr>
  </w:style>
  <w:style w:type="paragraph" w:styleId="ListBullet">
    <w:name w:val="List Bullet"/>
    <w:basedOn w:val="List"/>
    <w:rsid w:val="00C921BC"/>
    <w:pPr>
      <w:numPr>
        <w:numId w:val="14"/>
      </w:numPr>
      <w:tabs>
        <w:tab w:val="clear" w:pos="340"/>
      </w:tabs>
      <w:spacing w:before="40" w:after="40"/>
    </w:pPr>
  </w:style>
  <w:style w:type="character" w:customStyle="1" w:styleId="SpecialBold">
    <w:name w:val="Special Bold"/>
    <w:basedOn w:val="DefaultParagraphFont"/>
    <w:rsid w:val="00C921BC"/>
    <w:rPr>
      <w:b/>
      <w:spacing w:val="0"/>
    </w:rPr>
  </w:style>
  <w:style w:type="paragraph" w:styleId="ListBullet2">
    <w:name w:val="List Bullet 2"/>
    <w:basedOn w:val="List2"/>
    <w:rsid w:val="00C921BC"/>
    <w:pPr>
      <w:numPr>
        <w:numId w:val="15"/>
      </w:numPr>
      <w:tabs>
        <w:tab w:val="clear" w:pos="680"/>
      </w:tabs>
    </w:pPr>
  </w:style>
  <w:style w:type="paragraph" w:customStyle="1" w:styleId="SuperHeading">
    <w:name w:val="SuperHeading"/>
    <w:basedOn w:val="Normal"/>
    <w:rsid w:val="00C921BC"/>
    <w:pPr>
      <w:spacing w:before="240" w:after="120"/>
      <w:outlineLvl w:val="0"/>
    </w:pPr>
    <w:rPr>
      <w:rFonts w:ascii="Times New Roman" w:hAnsi="Times New Roman"/>
      <w:b/>
      <w:sz w:val="32"/>
    </w:rPr>
  </w:style>
  <w:style w:type="paragraph" w:customStyle="1" w:styleId="AllowPageBreak">
    <w:name w:val="AllowPageBreak"/>
    <w:rsid w:val="00C921B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921BC"/>
    <w:pPr>
      <w:numPr>
        <w:numId w:val="3"/>
      </w:numPr>
      <w:tabs>
        <w:tab w:val="clear" w:pos="1021"/>
      </w:tabs>
      <w:ind w:left="1037" w:hanging="357"/>
    </w:pPr>
  </w:style>
  <w:style w:type="character" w:customStyle="1" w:styleId="Heading2Char">
    <w:name w:val="Heading 2 Char"/>
    <w:basedOn w:val="DefaultParagraphFont"/>
    <w:link w:val="Heading2"/>
    <w:rsid w:val="00C921B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921B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921B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921B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921B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921B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921B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921BC"/>
    <w:rPr>
      <w:rFonts w:ascii="Courier New" w:eastAsia="Times New Roman" w:hAnsi="Courier New" w:cs="Times New Roman"/>
      <w:i/>
      <w:szCs w:val="20"/>
      <w:lang w:eastAsia="en-US"/>
    </w:rPr>
  </w:style>
  <w:style w:type="paragraph" w:customStyle="1" w:styleId="HeadingBase">
    <w:name w:val="Heading Base"/>
    <w:rsid w:val="00C921B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921BC"/>
    <w:pPr>
      <w:tabs>
        <w:tab w:val="right" w:leader="dot" w:pos="9072"/>
      </w:tabs>
      <w:ind w:left="567"/>
    </w:pPr>
    <w:rPr>
      <w:szCs w:val="22"/>
    </w:rPr>
  </w:style>
  <w:style w:type="paragraph" w:customStyle="1" w:styleId="TOCBase">
    <w:name w:val="TOC Base"/>
    <w:rsid w:val="00C921B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921BC"/>
    <w:pPr>
      <w:tabs>
        <w:tab w:val="right" w:leader="dot" w:pos="9072"/>
      </w:tabs>
      <w:spacing w:before="40" w:after="40"/>
      <w:ind w:left="284"/>
    </w:pPr>
    <w:rPr>
      <w:rFonts w:ascii="Times New Roman" w:hAnsi="Times New Roman"/>
    </w:rPr>
  </w:style>
  <w:style w:type="paragraph" w:styleId="TOC1">
    <w:name w:val="toc 1"/>
    <w:basedOn w:val="TOCBase"/>
    <w:next w:val="Normal"/>
    <w:rsid w:val="00C921B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921B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921BC"/>
    <w:rPr>
      <w:rFonts w:ascii="Times New Roman" w:eastAsia="Times New Roman" w:hAnsi="Times New Roman" w:cs="Times New Roman"/>
      <w:sz w:val="16"/>
      <w:lang w:eastAsia="en-US"/>
    </w:rPr>
  </w:style>
  <w:style w:type="paragraph" w:styleId="Title">
    <w:name w:val="Title"/>
    <w:basedOn w:val="HeadingBase"/>
    <w:link w:val="TitleChar"/>
    <w:qFormat/>
    <w:rsid w:val="00C921BC"/>
    <w:pPr>
      <w:spacing w:before="5040"/>
      <w:jc w:val="center"/>
    </w:pPr>
    <w:rPr>
      <w:sz w:val="48"/>
      <w:szCs w:val="72"/>
      <w:lang w:val="en-US"/>
    </w:rPr>
  </w:style>
  <w:style w:type="character" w:customStyle="1" w:styleId="TitleChar">
    <w:name w:val="Title Char"/>
    <w:basedOn w:val="DefaultParagraphFont"/>
    <w:link w:val="Title"/>
    <w:rsid w:val="00C921B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921BC"/>
    <w:pPr>
      <w:tabs>
        <w:tab w:val="left" w:pos="3600"/>
        <w:tab w:val="left" w:pos="3958"/>
      </w:tabs>
    </w:pPr>
  </w:style>
  <w:style w:type="paragraph" w:styleId="List">
    <w:name w:val="List"/>
    <w:basedOn w:val="BodyText"/>
    <w:next w:val="BodyText"/>
    <w:rsid w:val="00C921BC"/>
    <w:pPr>
      <w:tabs>
        <w:tab w:val="left" w:pos="340"/>
      </w:tabs>
      <w:spacing w:before="60" w:after="60"/>
      <w:ind w:left="340" w:hanging="340"/>
    </w:pPr>
  </w:style>
  <w:style w:type="paragraph" w:customStyle="1" w:styleId="Note">
    <w:name w:val="Note"/>
    <w:basedOn w:val="BodyText"/>
    <w:rsid w:val="00C921B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921BC"/>
    <w:pPr>
      <w:framePr w:wrap="auto" w:hAnchor="text" w:y="6049"/>
    </w:pPr>
    <w:rPr>
      <w:color w:val="000000"/>
      <w:sz w:val="40"/>
    </w:rPr>
  </w:style>
  <w:style w:type="paragraph" w:customStyle="1" w:styleId="TOCTitle">
    <w:name w:val="TOCTitle"/>
    <w:basedOn w:val="Heading1"/>
    <w:rsid w:val="00C921BC"/>
    <w:pPr>
      <w:spacing w:after="240"/>
      <w:jc w:val="center"/>
      <w:outlineLvl w:val="9"/>
    </w:pPr>
    <w:rPr>
      <w:caps/>
    </w:rPr>
  </w:style>
  <w:style w:type="paragraph" w:customStyle="1" w:styleId="Version">
    <w:name w:val="Version"/>
    <w:rsid w:val="00C921B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921BC"/>
    <w:pPr>
      <w:keepNext w:val="0"/>
      <w:tabs>
        <w:tab w:val="right" w:pos="4176"/>
      </w:tabs>
      <w:ind w:left="198" w:hanging="198"/>
    </w:pPr>
    <w:rPr>
      <w:rFonts w:ascii="Garamond" w:hAnsi="Garamond"/>
    </w:rPr>
  </w:style>
  <w:style w:type="paragraph" w:styleId="IndexHeading">
    <w:name w:val="index heading"/>
    <w:basedOn w:val="Normal"/>
    <w:next w:val="Index1"/>
    <w:semiHidden/>
    <w:rsid w:val="00C921BC"/>
    <w:pPr>
      <w:spacing w:before="120" w:after="120"/>
    </w:pPr>
    <w:rPr>
      <w:rFonts w:ascii="Arial" w:hAnsi="Arial"/>
      <w:b/>
      <w:color w:val="918585"/>
      <w:sz w:val="24"/>
    </w:rPr>
  </w:style>
  <w:style w:type="paragraph" w:styleId="Header">
    <w:name w:val="header"/>
    <w:basedOn w:val="Normal"/>
    <w:link w:val="HeaderChar"/>
    <w:rsid w:val="00C921B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921BC"/>
    <w:rPr>
      <w:rFonts w:ascii="Times New Roman" w:eastAsia="Times New Roman" w:hAnsi="Times New Roman" w:cs="Times New Roman"/>
      <w:sz w:val="16"/>
      <w:szCs w:val="20"/>
      <w:lang w:val="en-GB" w:eastAsia="en-US"/>
    </w:rPr>
  </w:style>
  <w:style w:type="paragraph" w:customStyle="1" w:styleId="Chapter">
    <w:name w:val="Chapter"/>
    <w:basedOn w:val="Normal"/>
    <w:rsid w:val="00C921BC"/>
    <w:pPr>
      <w:spacing w:before="240"/>
    </w:pPr>
    <w:rPr>
      <w:rFonts w:ascii="Times New Roman" w:hAnsi="Times New Roman"/>
      <w:smallCaps/>
      <w:spacing w:val="80"/>
      <w:sz w:val="28"/>
    </w:rPr>
  </w:style>
  <w:style w:type="paragraph" w:customStyle="1" w:styleId="InChapter">
    <w:name w:val="InChapter"/>
    <w:basedOn w:val="Heading3"/>
    <w:rsid w:val="00C921BC"/>
    <w:pPr>
      <w:spacing w:after="240"/>
      <w:outlineLvl w:val="9"/>
    </w:pPr>
    <w:rPr>
      <w:noProof/>
    </w:rPr>
  </w:style>
  <w:style w:type="paragraph" w:styleId="Index2">
    <w:name w:val="index 2"/>
    <w:basedOn w:val="Normal"/>
    <w:next w:val="Normal"/>
    <w:semiHidden/>
    <w:rsid w:val="00C921BC"/>
    <w:pPr>
      <w:tabs>
        <w:tab w:val="right" w:pos="4176"/>
      </w:tabs>
      <w:ind w:left="568" w:hanging="284"/>
    </w:pPr>
    <w:rPr>
      <w:rFonts w:ascii="Garamond" w:hAnsi="Garamond"/>
    </w:rPr>
  </w:style>
  <w:style w:type="paragraph" w:customStyle="1" w:styleId="Byline">
    <w:name w:val="Byline"/>
    <w:rsid w:val="00C921B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921BC"/>
    <w:pPr>
      <w:tabs>
        <w:tab w:val="clear" w:pos="3600"/>
        <w:tab w:val="clear" w:pos="3958"/>
      </w:tabs>
      <w:jc w:val="right"/>
    </w:pPr>
  </w:style>
  <w:style w:type="character" w:styleId="Emphasis">
    <w:name w:val="Emphasis"/>
    <w:basedOn w:val="DefaultParagraphFont"/>
    <w:qFormat/>
    <w:rsid w:val="00C921BC"/>
    <w:rPr>
      <w:i/>
    </w:rPr>
  </w:style>
  <w:style w:type="paragraph" w:styleId="Caption">
    <w:name w:val="caption"/>
    <w:basedOn w:val="BodyText"/>
    <w:next w:val="Normal"/>
    <w:qFormat/>
    <w:rsid w:val="00C921BC"/>
    <w:pPr>
      <w:framePr w:w="2268" w:hSpace="181" w:vSpace="181" w:wrap="around" w:vAnchor="text" w:hAnchor="page" w:x="1135" w:y="285" w:anchorLock="1"/>
    </w:pPr>
    <w:rPr>
      <w:i/>
    </w:rPr>
  </w:style>
  <w:style w:type="paragraph" w:customStyle="1" w:styleId="MiniTOCTitle">
    <w:name w:val="MiniTOCTitle"/>
    <w:basedOn w:val="Heading4"/>
    <w:rsid w:val="00C921BC"/>
    <w:pPr>
      <w:spacing w:before="240"/>
      <w:outlineLvl w:val="9"/>
    </w:pPr>
    <w:rPr>
      <w:noProof/>
      <w:sz w:val="24"/>
    </w:rPr>
  </w:style>
  <w:style w:type="paragraph" w:customStyle="1" w:styleId="MiniTOCItem">
    <w:name w:val="MiniTOCItem"/>
    <w:basedOn w:val="ListBullet"/>
    <w:rsid w:val="00C921BC"/>
    <w:pPr>
      <w:numPr>
        <w:numId w:val="0"/>
      </w:numPr>
      <w:tabs>
        <w:tab w:val="right" w:leader="dot" w:pos="6521"/>
      </w:tabs>
      <w:spacing w:before="0" w:after="0"/>
    </w:pPr>
  </w:style>
  <w:style w:type="paragraph" w:customStyle="1" w:styleId="TOFTitle">
    <w:name w:val="TOFTitle"/>
    <w:basedOn w:val="TOCTitle"/>
    <w:rsid w:val="00C921BC"/>
  </w:style>
  <w:style w:type="paragraph" w:styleId="TableofFigures">
    <w:name w:val="table of figures"/>
    <w:basedOn w:val="Normal"/>
    <w:next w:val="Normal"/>
    <w:semiHidden/>
    <w:rsid w:val="00C921BC"/>
    <w:pPr>
      <w:tabs>
        <w:tab w:val="right" w:leader="dot" w:pos="9072"/>
      </w:tabs>
      <w:ind w:left="970" w:hanging="403"/>
    </w:pPr>
    <w:rPr>
      <w:rFonts w:ascii="Times New Roman" w:hAnsi="Times New Roman"/>
      <w:b/>
    </w:rPr>
  </w:style>
  <w:style w:type="paragraph" w:styleId="ListNumber">
    <w:name w:val="List Number"/>
    <w:basedOn w:val="List"/>
    <w:rsid w:val="00C921BC"/>
    <w:pPr>
      <w:numPr>
        <w:numId w:val="12"/>
      </w:numPr>
    </w:pPr>
  </w:style>
  <w:style w:type="character" w:customStyle="1" w:styleId="WingdingSymbols">
    <w:name w:val="Wingding Symbols"/>
    <w:rsid w:val="00C921BC"/>
    <w:rPr>
      <w:rFonts w:ascii="Wingdings" w:hAnsi="Wingdings"/>
    </w:rPr>
  </w:style>
  <w:style w:type="paragraph" w:customStyle="1" w:styleId="TableHeading">
    <w:name w:val="Table Heading"/>
    <w:basedOn w:val="HeadingBase"/>
    <w:rsid w:val="00C921BC"/>
    <w:pPr>
      <w:keepLines/>
      <w:pBdr>
        <w:bottom w:val="single" w:sz="6" w:space="1" w:color="918585"/>
      </w:pBdr>
      <w:spacing w:before="240"/>
    </w:pPr>
  </w:style>
  <w:style w:type="character" w:customStyle="1" w:styleId="HotSpot">
    <w:name w:val="HotSpot"/>
    <w:rsid w:val="00C921BC"/>
    <w:rPr>
      <w:color w:val="0033CC"/>
      <w:u w:val="none"/>
    </w:rPr>
  </w:style>
  <w:style w:type="paragraph" w:customStyle="1" w:styleId="BodyTextRight">
    <w:name w:val="Body Text Right"/>
    <w:basedOn w:val="BodyText"/>
    <w:rsid w:val="00C921BC"/>
    <w:pPr>
      <w:spacing w:before="0" w:after="0"/>
      <w:jc w:val="right"/>
    </w:pPr>
  </w:style>
  <w:style w:type="paragraph" w:styleId="Index3">
    <w:name w:val="index 3"/>
    <w:basedOn w:val="ListNumber2"/>
    <w:next w:val="Normal"/>
    <w:semiHidden/>
    <w:rsid w:val="00C921BC"/>
    <w:pPr>
      <w:numPr>
        <w:numId w:val="0"/>
      </w:numPr>
      <w:tabs>
        <w:tab w:val="right" w:leader="dot" w:pos="4176"/>
      </w:tabs>
    </w:pPr>
  </w:style>
  <w:style w:type="paragraph" w:styleId="ListNumber2">
    <w:name w:val="List Number 2"/>
    <w:basedOn w:val="List2"/>
    <w:rsid w:val="00C921BC"/>
    <w:pPr>
      <w:numPr>
        <w:numId w:val="11"/>
      </w:numPr>
      <w:tabs>
        <w:tab w:val="clear" w:pos="1060"/>
      </w:tabs>
    </w:pPr>
  </w:style>
  <w:style w:type="paragraph" w:customStyle="1" w:styleId="MarginNote">
    <w:name w:val="Margin Note"/>
    <w:basedOn w:val="BodyText"/>
    <w:rsid w:val="00C921B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921B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921B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921BC"/>
    <w:rPr>
      <w:sz w:val="32"/>
    </w:rPr>
  </w:style>
  <w:style w:type="paragraph" w:customStyle="1" w:styleId="HeadingProcedure">
    <w:name w:val="Heading Procedure"/>
    <w:basedOn w:val="HeadingBase"/>
    <w:next w:val="Normal"/>
    <w:rsid w:val="00C921BC"/>
    <w:pPr>
      <w:tabs>
        <w:tab w:val="left" w:pos="0"/>
      </w:tabs>
      <w:spacing w:before="120" w:after="60"/>
    </w:pPr>
    <w:rPr>
      <w:i/>
      <w:color w:val="918585"/>
      <w:sz w:val="22"/>
    </w:rPr>
  </w:style>
  <w:style w:type="paragraph" w:customStyle="1" w:styleId="TableBodyText">
    <w:name w:val="Table Body Text"/>
    <w:basedOn w:val="BodyText"/>
    <w:rsid w:val="00C921BC"/>
    <w:pPr>
      <w:spacing w:before="60" w:after="60"/>
    </w:pPr>
  </w:style>
  <w:style w:type="paragraph" w:styleId="ListContinue">
    <w:name w:val="List Continue"/>
    <w:basedOn w:val="List"/>
    <w:rsid w:val="00C921BC"/>
    <w:pPr>
      <w:ind w:firstLine="0"/>
    </w:pPr>
  </w:style>
  <w:style w:type="paragraph" w:customStyle="1" w:styleId="ListNote">
    <w:name w:val="List Note"/>
    <w:basedOn w:val="List"/>
    <w:rsid w:val="00C921BC"/>
    <w:pPr>
      <w:pBdr>
        <w:top w:val="single" w:sz="6" w:space="2" w:color="918585"/>
        <w:bottom w:val="single" w:sz="6" w:space="2" w:color="918585"/>
      </w:pBdr>
      <w:tabs>
        <w:tab w:val="left" w:pos="1021"/>
      </w:tabs>
      <w:ind w:firstLine="0"/>
    </w:pPr>
  </w:style>
  <w:style w:type="paragraph" w:customStyle="1" w:styleId="Warning">
    <w:name w:val="Warning"/>
    <w:basedOn w:val="BodyText"/>
    <w:rsid w:val="00C921BC"/>
    <w:pPr>
      <w:shd w:val="clear" w:color="auto" w:fill="D9D9D9"/>
      <w:tabs>
        <w:tab w:val="left" w:pos="992"/>
      </w:tabs>
      <w:ind w:left="119" w:right="119"/>
    </w:pPr>
    <w:rPr>
      <w:sz w:val="20"/>
    </w:rPr>
  </w:style>
  <w:style w:type="paragraph" w:customStyle="1" w:styleId="MarginIcons">
    <w:name w:val="Margin Icons"/>
    <w:basedOn w:val="BodyText"/>
    <w:rsid w:val="00C921B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921BC"/>
    <w:rPr>
      <w:rFonts w:ascii="Courier New" w:hAnsi="Courier New"/>
    </w:rPr>
  </w:style>
  <w:style w:type="paragraph" w:customStyle="1" w:styleId="NoteBullet">
    <w:name w:val="Note Bullet"/>
    <w:basedOn w:val="Note"/>
    <w:rsid w:val="00C921BC"/>
    <w:pPr>
      <w:tabs>
        <w:tab w:val="clear" w:pos="680"/>
      </w:tabs>
      <w:spacing w:before="60" w:after="60"/>
    </w:pPr>
  </w:style>
  <w:style w:type="paragraph" w:customStyle="1" w:styleId="SubHeading2">
    <w:name w:val="SubHeading2"/>
    <w:basedOn w:val="HeadingBase"/>
    <w:rsid w:val="00C921BC"/>
    <w:pPr>
      <w:spacing w:before="240" w:after="60"/>
    </w:pPr>
    <w:rPr>
      <w:sz w:val="20"/>
    </w:rPr>
  </w:style>
  <w:style w:type="paragraph" w:customStyle="1" w:styleId="SubHeading1">
    <w:name w:val="SubHeading1"/>
    <w:basedOn w:val="HeadingBase"/>
    <w:rsid w:val="00C921BC"/>
    <w:pPr>
      <w:spacing w:before="240" w:after="60"/>
    </w:pPr>
    <w:rPr>
      <w:color w:val="918585"/>
      <w:sz w:val="22"/>
    </w:rPr>
  </w:style>
  <w:style w:type="paragraph" w:customStyle="1" w:styleId="SideHeading">
    <w:name w:val="Side Heading"/>
    <w:basedOn w:val="HeadingBase"/>
    <w:rsid w:val="00C921B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921BC"/>
    <w:pPr>
      <w:numPr>
        <w:numId w:val="13"/>
      </w:numPr>
    </w:pPr>
  </w:style>
  <w:style w:type="paragraph" w:styleId="PlainText">
    <w:name w:val="Plain Text"/>
    <w:basedOn w:val="Normal"/>
    <w:link w:val="PlainTextChar"/>
    <w:rsid w:val="00C921BC"/>
    <w:rPr>
      <w:sz w:val="20"/>
    </w:rPr>
  </w:style>
  <w:style w:type="character" w:customStyle="1" w:styleId="PlainTextChar">
    <w:name w:val="Plain Text Char"/>
    <w:basedOn w:val="DefaultParagraphFont"/>
    <w:link w:val="PlainText"/>
    <w:rsid w:val="00C921BC"/>
    <w:rPr>
      <w:rFonts w:ascii="Courier New" w:eastAsia="Times New Roman" w:hAnsi="Courier New" w:cs="Times New Roman"/>
      <w:sz w:val="20"/>
      <w:szCs w:val="20"/>
      <w:lang w:eastAsia="en-US"/>
    </w:rPr>
  </w:style>
  <w:style w:type="character" w:customStyle="1" w:styleId="MenuOption">
    <w:name w:val="Menu Option"/>
    <w:basedOn w:val="DefaultParagraphFont"/>
    <w:rsid w:val="00C921BC"/>
    <w:rPr>
      <w:b/>
      <w:smallCaps/>
    </w:rPr>
  </w:style>
  <w:style w:type="paragraph" w:customStyle="1" w:styleId="TableListNumber">
    <w:name w:val="Table List Number"/>
    <w:basedOn w:val="ListNumber"/>
    <w:rsid w:val="00C921BC"/>
    <w:pPr>
      <w:numPr>
        <w:numId w:val="0"/>
      </w:numPr>
    </w:pPr>
  </w:style>
  <w:style w:type="paragraph" w:styleId="TOC4">
    <w:name w:val="toc 4"/>
    <w:basedOn w:val="TOCBase"/>
    <w:next w:val="Normal"/>
    <w:semiHidden/>
    <w:rsid w:val="00C921BC"/>
    <w:pPr>
      <w:tabs>
        <w:tab w:val="right" w:leader="dot" w:pos="9071"/>
      </w:tabs>
      <w:ind w:left="1701"/>
    </w:pPr>
  </w:style>
  <w:style w:type="paragraph" w:customStyle="1" w:styleId="ListAlpha">
    <w:name w:val="List Alpha"/>
    <w:basedOn w:val="List"/>
    <w:rsid w:val="00C921BC"/>
    <w:pPr>
      <w:numPr>
        <w:numId w:val="10"/>
      </w:numPr>
    </w:pPr>
  </w:style>
  <w:style w:type="paragraph" w:customStyle="1" w:styleId="ListAlpha2">
    <w:name w:val="List Alpha 2"/>
    <w:basedOn w:val="List2"/>
    <w:rsid w:val="00C921BC"/>
    <w:pPr>
      <w:numPr>
        <w:numId w:val="9"/>
      </w:numPr>
    </w:pPr>
  </w:style>
  <w:style w:type="paragraph" w:styleId="List2">
    <w:name w:val="List 2"/>
    <w:basedOn w:val="BodyText"/>
    <w:rsid w:val="00C921BC"/>
    <w:pPr>
      <w:tabs>
        <w:tab w:val="left" w:pos="680"/>
      </w:tabs>
      <w:spacing w:before="60" w:after="60"/>
      <w:ind w:left="680" w:hanging="340"/>
    </w:pPr>
  </w:style>
  <w:style w:type="paragraph" w:styleId="List3">
    <w:name w:val="List 3"/>
    <w:basedOn w:val="BodyText"/>
    <w:rsid w:val="00C921BC"/>
    <w:pPr>
      <w:tabs>
        <w:tab w:val="left" w:pos="1021"/>
      </w:tabs>
      <w:spacing w:before="60" w:after="60"/>
      <w:ind w:left="1020" w:hanging="340"/>
    </w:pPr>
  </w:style>
  <w:style w:type="paragraph" w:styleId="List4">
    <w:name w:val="List 4"/>
    <w:basedOn w:val="BodyText"/>
    <w:rsid w:val="00C921BC"/>
    <w:pPr>
      <w:tabs>
        <w:tab w:val="left" w:pos="1361"/>
      </w:tabs>
      <w:spacing w:before="60" w:after="60"/>
      <w:ind w:left="1361" w:hanging="340"/>
    </w:pPr>
  </w:style>
  <w:style w:type="paragraph" w:styleId="List5">
    <w:name w:val="List 5"/>
    <w:basedOn w:val="BodyText"/>
    <w:rsid w:val="00C921BC"/>
    <w:pPr>
      <w:tabs>
        <w:tab w:val="left" w:pos="1701"/>
      </w:tabs>
      <w:spacing w:before="60" w:after="60"/>
      <w:ind w:left="1701" w:hanging="340"/>
    </w:pPr>
  </w:style>
  <w:style w:type="paragraph" w:styleId="ListBullet4">
    <w:name w:val="List Bullet 4"/>
    <w:basedOn w:val="List4"/>
    <w:rsid w:val="00C921BC"/>
    <w:pPr>
      <w:numPr>
        <w:numId w:val="4"/>
      </w:numPr>
      <w:tabs>
        <w:tab w:val="clear" w:pos="1361"/>
      </w:tabs>
    </w:pPr>
  </w:style>
  <w:style w:type="paragraph" w:styleId="ListBullet5">
    <w:name w:val="List Bullet 5"/>
    <w:basedOn w:val="List5"/>
    <w:rsid w:val="00C921BC"/>
    <w:pPr>
      <w:numPr>
        <w:numId w:val="5"/>
      </w:numPr>
    </w:pPr>
  </w:style>
  <w:style w:type="paragraph" w:styleId="ListContinue2">
    <w:name w:val="List Continue 2"/>
    <w:basedOn w:val="List2"/>
    <w:rsid w:val="00C921BC"/>
    <w:pPr>
      <w:ind w:firstLine="0"/>
    </w:pPr>
  </w:style>
  <w:style w:type="paragraph" w:styleId="ListContinue3">
    <w:name w:val="List Continue 3"/>
    <w:basedOn w:val="List3"/>
    <w:rsid w:val="00C921BC"/>
    <w:pPr>
      <w:ind w:left="1021" w:firstLine="0"/>
    </w:pPr>
  </w:style>
  <w:style w:type="paragraph" w:styleId="ListContinue4">
    <w:name w:val="List Continue 4"/>
    <w:basedOn w:val="List4"/>
    <w:rsid w:val="00C921BC"/>
    <w:pPr>
      <w:ind w:firstLine="0"/>
    </w:pPr>
  </w:style>
  <w:style w:type="paragraph" w:styleId="ListContinue5">
    <w:name w:val="List Continue 5"/>
    <w:basedOn w:val="List5"/>
    <w:rsid w:val="00C921BC"/>
    <w:pPr>
      <w:ind w:firstLine="0"/>
    </w:pPr>
  </w:style>
  <w:style w:type="paragraph" w:styleId="ListNumber3">
    <w:name w:val="List Number 3"/>
    <w:basedOn w:val="List3"/>
    <w:rsid w:val="00C921BC"/>
    <w:pPr>
      <w:numPr>
        <w:numId w:val="6"/>
      </w:numPr>
    </w:pPr>
  </w:style>
  <w:style w:type="paragraph" w:styleId="ListNumber4">
    <w:name w:val="List Number 4"/>
    <w:basedOn w:val="List4"/>
    <w:rsid w:val="00C921BC"/>
    <w:pPr>
      <w:numPr>
        <w:numId w:val="7"/>
      </w:numPr>
    </w:pPr>
  </w:style>
  <w:style w:type="paragraph" w:styleId="ListNumber5">
    <w:name w:val="List Number 5"/>
    <w:basedOn w:val="List5"/>
    <w:rsid w:val="00C921BC"/>
    <w:pPr>
      <w:numPr>
        <w:numId w:val="8"/>
      </w:numPr>
    </w:pPr>
  </w:style>
  <w:style w:type="paragraph" w:styleId="BlockText">
    <w:name w:val="Block Text"/>
    <w:basedOn w:val="Normal"/>
    <w:rsid w:val="00C921BC"/>
    <w:pPr>
      <w:spacing w:after="120"/>
      <w:ind w:left="1440" w:right="1440"/>
    </w:pPr>
  </w:style>
  <w:style w:type="character" w:customStyle="1" w:styleId="Subscript">
    <w:name w:val="Subscript"/>
    <w:basedOn w:val="DefaultParagraphFont"/>
    <w:rsid w:val="00C921BC"/>
    <w:rPr>
      <w:sz w:val="16"/>
      <w:vertAlign w:val="subscript"/>
    </w:rPr>
  </w:style>
  <w:style w:type="character" w:customStyle="1" w:styleId="Superscript">
    <w:name w:val="Superscript"/>
    <w:basedOn w:val="DefaultParagraphFont"/>
    <w:rsid w:val="00C921BC"/>
    <w:rPr>
      <w:sz w:val="16"/>
      <w:vertAlign w:val="superscript"/>
    </w:rPr>
  </w:style>
  <w:style w:type="character" w:customStyle="1" w:styleId="Symbols">
    <w:name w:val="Symbols"/>
    <w:basedOn w:val="DefaultParagraphFont"/>
    <w:rsid w:val="00C921BC"/>
    <w:rPr>
      <w:rFonts w:ascii="Symbol" w:hAnsi="Symbol"/>
    </w:rPr>
  </w:style>
  <w:style w:type="character" w:customStyle="1" w:styleId="MenuOptions">
    <w:name w:val="Menu Options"/>
    <w:basedOn w:val="DefaultParagraphFont"/>
    <w:rsid w:val="00C921BC"/>
    <w:rPr>
      <w:rFonts w:ascii="Arial Narrow" w:hAnsi="Arial Narrow"/>
      <w:smallCaps/>
    </w:rPr>
  </w:style>
  <w:style w:type="character" w:customStyle="1" w:styleId="Buttons">
    <w:name w:val="Buttons"/>
    <w:basedOn w:val="DefaultParagraphFont"/>
    <w:rsid w:val="00C921BC"/>
    <w:rPr>
      <w:b/>
    </w:rPr>
  </w:style>
  <w:style w:type="character" w:customStyle="1" w:styleId="Underlined">
    <w:name w:val="Underlined"/>
    <w:basedOn w:val="DefaultParagraphFont"/>
    <w:rsid w:val="00C921BC"/>
    <w:rPr>
      <w:u w:val="single"/>
    </w:rPr>
  </w:style>
  <w:style w:type="paragraph" w:customStyle="1" w:styleId="TableBodyTextRight">
    <w:name w:val="Table Body Text Right"/>
    <w:basedOn w:val="TableBodyText"/>
    <w:rsid w:val="00C921BC"/>
    <w:pPr>
      <w:widowControl w:val="0"/>
      <w:autoSpaceDE w:val="0"/>
      <w:autoSpaceDN w:val="0"/>
      <w:adjustRightInd w:val="0"/>
      <w:jc w:val="right"/>
    </w:pPr>
    <w:rPr>
      <w:rFonts w:cs="Arial"/>
      <w:szCs w:val="18"/>
    </w:rPr>
  </w:style>
  <w:style w:type="paragraph" w:customStyle="1" w:styleId="CopyrightText">
    <w:name w:val="Copyright Text"/>
    <w:basedOn w:val="BodyText"/>
    <w:rsid w:val="00C921BC"/>
    <w:rPr>
      <w:sz w:val="18"/>
    </w:rPr>
  </w:style>
  <w:style w:type="paragraph" w:customStyle="1" w:styleId="BodySmallRight">
    <w:name w:val="Body Small Right"/>
    <w:basedOn w:val="BodyTextRight"/>
    <w:rsid w:val="00C921BC"/>
    <w:rPr>
      <w:sz w:val="18"/>
      <w:szCs w:val="18"/>
    </w:rPr>
  </w:style>
  <w:style w:type="paragraph" w:customStyle="1" w:styleId="MarginEdition">
    <w:name w:val="Margin Edition"/>
    <w:basedOn w:val="MarginNote"/>
    <w:rsid w:val="00C921BC"/>
    <w:pPr>
      <w:spacing w:before="0" w:after="0"/>
    </w:pPr>
    <w:rPr>
      <w:rFonts w:ascii="Times New Roman" w:hAnsi="Times New Roman"/>
      <w:color w:val="999999"/>
    </w:rPr>
  </w:style>
  <w:style w:type="paragraph" w:customStyle="1" w:styleId="Spacer">
    <w:name w:val="Spacer"/>
    <w:basedOn w:val="Normal"/>
    <w:rsid w:val="00C921BC"/>
    <w:rPr>
      <w:sz w:val="2"/>
      <w:szCs w:val="2"/>
    </w:rPr>
  </w:style>
  <w:style w:type="character" w:customStyle="1" w:styleId="Small">
    <w:name w:val="Small"/>
    <w:basedOn w:val="DefaultParagraphFont"/>
    <w:rsid w:val="00C921BC"/>
    <w:rPr>
      <w:sz w:val="16"/>
    </w:rPr>
  </w:style>
  <w:style w:type="paragraph" w:customStyle="1" w:styleId="WideTable">
    <w:name w:val="Wide Table"/>
    <w:basedOn w:val="Normal"/>
    <w:rsid w:val="00C921BC"/>
    <w:pPr>
      <w:ind w:left="-1418"/>
    </w:pPr>
    <w:rPr>
      <w:sz w:val="2"/>
      <w:szCs w:val="2"/>
    </w:rPr>
  </w:style>
  <w:style w:type="character" w:styleId="PageNumber">
    <w:name w:val="page number"/>
    <w:basedOn w:val="DefaultParagraphFont"/>
    <w:rsid w:val="00C921BC"/>
  </w:style>
  <w:style w:type="paragraph" w:styleId="Quote">
    <w:name w:val="Quote"/>
    <w:basedOn w:val="Heading1"/>
    <w:link w:val="QuoteChar"/>
    <w:qFormat/>
    <w:rsid w:val="00C921BC"/>
    <w:rPr>
      <w:b w:val="0"/>
      <w:sz w:val="72"/>
      <w:szCs w:val="72"/>
      <w:lang w:val="en-NZ"/>
    </w:rPr>
  </w:style>
  <w:style w:type="character" w:customStyle="1" w:styleId="QuoteChar">
    <w:name w:val="Quote Char"/>
    <w:basedOn w:val="DefaultParagraphFont"/>
    <w:link w:val="Quote"/>
    <w:rsid w:val="00C921B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921BC"/>
    <w:pPr>
      <w:pageBreakBefore/>
    </w:pPr>
  </w:style>
  <w:style w:type="paragraph" w:customStyle="1" w:styleId="Border">
    <w:name w:val="Border"/>
    <w:basedOn w:val="Normal"/>
    <w:qFormat/>
    <w:rsid w:val="00C921B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921BC"/>
    <w:rPr>
      <w:b/>
      <w:bCs/>
      <w:i/>
      <w:iCs/>
      <w:color w:val="auto"/>
    </w:rPr>
  </w:style>
  <w:style w:type="paragraph" w:styleId="IntenseQuote">
    <w:name w:val="Intense Quote"/>
    <w:basedOn w:val="Normal"/>
    <w:next w:val="Normal"/>
    <w:link w:val="IntenseQuoteChar"/>
    <w:uiPriority w:val="30"/>
    <w:qFormat/>
    <w:rsid w:val="00C921B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921B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921BC"/>
    <w:rPr>
      <w:smallCaps/>
      <w:color w:val="auto"/>
      <w:u w:val="single"/>
    </w:rPr>
  </w:style>
  <w:style w:type="character" w:styleId="IntenseReference">
    <w:name w:val="Intense Reference"/>
    <w:basedOn w:val="DefaultParagraphFont"/>
    <w:uiPriority w:val="32"/>
    <w:qFormat/>
    <w:rsid w:val="00C921BC"/>
    <w:rPr>
      <w:b/>
      <w:bCs/>
      <w:smallCaps/>
      <w:color w:val="auto"/>
      <w:spacing w:val="5"/>
      <w:u w:val="single"/>
    </w:rPr>
  </w:style>
  <w:style w:type="paragraph" w:customStyle="1" w:styleId="2ColumnHeading">
    <w:name w:val="2Column Heading"/>
    <w:basedOn w:val="BodyText"/>
    <w:qFormat/>
    <w:rsid w:val="00C921BC"/>
    <w:pPr>
      <w:spacing w:after="60"/>
      <w:ind w:left="-2268"/>
    </w:pPr>
    <w:rPr>
      <w:b/>
    </w:rPr>
  </w:style>
  <w:style w:type="paragraph" w:customStyle="1" w:styleId="Heading1TOC">
    <w:name w:val="Heading1 TOC"/>
    <w:basedOn w:val="Normal"/>
    <w:qFormat/>
    <w:rsid w:val="00C921BC"/>
    <w:pPr>
      <w:spacing w:before="240" w:after="120"/>
    </w:pPr>
    <w:rPr>
      <w:rFonts w:ascii="Times New Roman" w:hAnsi="Times New Roman"/>
      <w:b/>
      <w:sz w:val="32"/>
    </w:rPr>
  </w:style>
  <w:style w:type="paragraph" w:customStyle="1" w:styleId="Heading2TOC">
    <w:name w:val="Heading2 TOC"/>
    <w:basedOn w:val="Normal"/>
    <w:qFormat/>
    <w:rsid w:val="00C921BC"/>
    <w:pPr>
      <w:spacing w:before="240" w:after="60"/>
    </w:pPr>
    <w:rPr>
      <w:rFonts w:ascii="Times New Roman" w:hAnsi="Times New Roman"/>
      <w:b/>
      <w:sz w:val="28"/>
    </w:rPr>
  </w:style>
  <w:style w:type="character" w:customStyle="1" w:styleId="Underline">
    <w:name w:val="Underline"/>
    <w:basedOn w:val="DefaultParagraphFont"/>
    <w:qFormat/>
    <w:rsid w:val="00C921BC"/>
    <w:rPr>
      <w:u w:val="single"/>
    </w:rPr>
  </w:style>
  <w:style w:type="character" w:customStyle="1" w:styleId="BoldandItalics">
    <w:name w:val="Bold and Italics"/>
    <w:qFormat/>
    <w:rsid w:val="00C921BC"/>
    <w:rPr>
      <w:b/>
      <w:i/>
      <w:u w:val="none"/>
    </w:rPr>
  </w:style>
  <w:style w:type="paragraph" w:styleId="BalloonText">
    <w:name w:val="Balloon Text"/>
    <w:basedOn w:val="Normal"/>
    <w:link w:val="BalloonTextChar"/>
    <w:rsid w:val="00C921BC"/>
    <w:rPr>
      <w:rFonts w:ascii="Tahoma" w:hAnsi="Tahoma" w:cs="Tahoma"/>
      <w:sz w:val="16"/>
      <w:szCs w:val="16"/>
    </w:rPr>
  </w:style>
  <w:style w:type="character" w:customStyle="1" w:styleId="BalloonTextChar">
    <w:name w:val="Balloon Text Char"/>
    <w:basedOn w:val="DefaultParagraphFont"/>
    <w:link w:val="BalloonText"/>
    <w:rsid w:val="00C921B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921B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921B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921BC"/>
    <w:rPr>
      <w:b/>
      <w:color w:val="660033"/>
      <w:spacing w:val="0"/>
    </w:rPr>
  </w:style>
  <w:style w:type="paragraph" w:customStyle="1" w:styleId="Nameditemlist">
    <w:name w:val="Named item list"/>
    <w:basedOn w:val="BodyText"/>
    <w:qFormat/>
    <w:rsid w:val="00C921BC"/>
    <w:pPr>
      <w:tabs>
        <w:tab w:val="left" w:pos="2835"/>
      </w:tabs>
      <w:ind w:left="2835" w:hanging="2835"/>
    </w:pPr>
  </w:style>
  <w:style w:type="paragraph" w:customStyle="1" w:styleId="BodyTextnopadding">
    <w:name w:val="Body Text no padding"/>
    <w:basedOn w:val="BodyText"/>
    <w:qFormat/>
    <w:rsid w:val="00C921BC"/>
    <w:pPr>
      <w:spacing w:before="0" w:after="0"/>
    </w:pPr>
  </w:style>
  <w:style w:type="character" w:styleId="Hyperlink">
    <w:name w:val="Hyperlink"/>
    <w:basedOn w:val="DefaultParagraphFont"/>
    <w:uiPriority w:val="99"/>
    <w:unhideWhenUsed/>
    <w:rsid w:val="003142E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700</Words>
  <Characters>4383</Characters>
  <Application>Microsoft Office Word</Application>
  <DocSecurity>0</DocSecurity>
  <Lines>128</Lines>
  <Paragraphs>110</Paragraphs>
  <ScaleCrop>false</ScaleCrop>
  <Company>Author-it Software Corporation Ltd.</Company>
  <LinksUpToDate>false</LinksUpToDate>
  <CharactersWithSpaces>4973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FWPTMM3201 Convert timber</dc:title>
  <dc:subject>Approved</dc:subject>
  <dc:creator>Skills Impact</dc:creator>
  <cp:keywords>Release: 1</cp:keywords>
  <dc:description>Review Date: 12 April 2008</dc:description>
  <cp:lastModifiedBy>HSD_TPCMSd.prod</cp:lastModifiedBy>
  <cp:revision>3</cp:revision>
  <dcterms:created xsi:type="dcterms:W3CDTF">2018-12-18T04:48:00Z</dcterms:created>
  <dcterms:modified xsi:type="dcterms:W3CDTF">2018-12-18T04:48:00Z</dcterms:modified>
</cp:coreProperties>
</file>