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13C" w:rsidP="00B131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FWPSAW3252 Assemble, operate and dismantle a portable sawmill</w:t>
      </w:r>
      <w:r>
        <w:fldChar w:fldCharType="end"/>
      </w:r>
    </w:p>
    <w:p w:rsidR="00B1313C" w:rsidP="00B1313C">
      <w:pPr>
        <w:pStyle w:val="Version"/>
        <w:sectPr w:rsidSect="00363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F61" w:rsidP="00363F61">
      <w:pPr>
        <w:pStyle w:val="SuperHeading"/>
      </w:pPr>
      <w:r w:rsidRPr="00363F61">
        <w:t>FWPSAW3252 Assemble, operate and dismantle a portable sawmill</w:t>
      </w:r>
    </w:p>
    <w:p w:rsidR="00000000" w:rsidRPr="00363F61" w:rsidP="00363F61">
      <w:pPr>
        <w:pStyle w:val="Heading1"/>
      </w:pPr>
      <w:bookmarkStart w:id="1" w:name="O_1242214"/>
      <w:bookmarkEnd w:id="1"/>
      <w:r w:rsidRPr="00363F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3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Bold"/>
              <w:rPr>
                <w:lang w:val="en-NZ"/>
              </w:rPr>
            </w:pPr>
            <w:r w:rsidRPr="00363F6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Bold"/>
              <w:rPr>
                <w:lang w:val="en-NZ"/>
              </w:rPr>
            </w:pPr>
            <w:r w:rsidRPr="00363F61">
              <w:t>Comments</w:t>
            </w:r>
          </w:p>
        </w:tc>
      </w:tr>
      <w:tr w:rsidTr="00363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61" w:rsidP="00363F61">
            <w:pPr>
              <w:pStyle w:val="BodyText"/>
            </w:pPr>
            <w:r w:rsidRPr="00363F61">
              <w:t>This version released with FWP Forest and Wood Products Training Package Version 8.0.</w:t>
            </w:r>
          </w:p>
        </w:tc>
      </w:tr>
    </w:tbl>
    <w:p w:rsidR="00000000" w:rsidRPr="00363F61" w:rsidP="00363F61">
      <w:pPr>
        <w:pStyle w:val="BodyText"/>
      </w:pPr>
    </w:p>
    <w:p w:rsidR="00000000" w:rsidRPr="00363F61" w:rsidP="00363F61">
      <w:pPr>
        <w:pStyle w:val="AllowPageBreak"/>
      </w:pPr>
    </w:p>
    <w:p w:rsidR="00000000" w:rsidRPr="00363F61" w:rsidP="00363F61">
      <w:pPr>
        <w:pStyle w:val="Heading1"/>
      </w:pPr>
      <w:bookmarkStart w:id="2" w:name="O_1242215"/>
      <w:bookmarkEnd w:id="2"/>
      <w:r w:rsidRPr="00363F61">
        <w:t>Application</w:t>
      </w:r>
    </w:p>
    <w:p w:rsidR="00000000" w:rsidRPr="00363F61" w:rsidP="00B1313C">
      <w:pPr>
        <w:pStyle w:val="BodyText"/>
      </w:pPr>
      <w:r w:rsidRPr="00363F61">
        <w:t>This unit of competency describes the skills and knowledge required to assemble, operate and dismantle a portable sawmill.</w:t>
      </w:r>
    </w:p>
    <w:p w:rsidR="00000000" w:rsidRPr="00363F61" w:rsidP="00B1313C">
      <w:pPr>
        <w:pStyle w:val="BodyText"/>
      </w:pPr>
      <w:r w:rsidRPr="00363F61">
        <w:t>The unit applies to individuals who assemble, operate and dismantle portable sawmills.</w:t>
      </w:r>
    </w:p>
    <w:p w:rsidR="00000000" w:rsidRPr="00363F61" w:rsidP="00B1313C">
      <w:pPr>
        <w:pStyle w:val="BodyText"/>
      </w:pPr>
      <w:r w:rsidRPr="00363F61">
        <w:t>All work must be carried out to comply with wo</w:t>
      </w:r>
      <w:r w:rsidRPr="00363F61">
        <w:t>rkplace procedures, according to state/territory health and safety regulations, legislation and standards that apply to the workplace.</w:t>
      </w:r>
    </w:p>
    <w:p w:rsidR="00000000" w:rsidRPr="00363F61" w:rsidP="00B1313C">
      <w:pPr>
        <w:pStyle w:val="BodyText"/>
      </w:pPr>
      <w:r w:rsidRPr="00363F61">
        <w:t xml:space="preserve">No licensing, legislative or certification requirements apply to this unit at the time of publication. </w:t>
      </w:r>
    </w:p>
    <w:p w:rsidR="00000000" w:rsidRPr="00363F61" w:rsidP="00363F61">
      <w:pPr>
        <w:pStyle w:val="Heading1"/>
      </w:pPr>
      <w:bookmarkStart w:id="3" w:name="O_1242216"/>
      <w:bookmarkEnd w:id="3"/>
      <w:r w:rsidRPr="00363F61">
        <w:t>Pre-requisite Unit</w:t>
      </w:r>
    </w:p>
    <w:p w:rsidR="00000000" w:rsidRPr="00363F61" w:rsidP="00B1313C">
      <w:pPr>
        <w:pStyle w:val="BodyText"/>
      </w:pPr>
      <w:r w:rsidRPr="00363F61">
        <w:t xml:space="preserve">Nil </w:t>
      </w:r>
    </w:p>
    <w:p w:rsidR="00000000" w:rsidRPr="00363F61" w:rsidP="00363F61">
      <w:pPr>
        <w:pStyle w:val="Heading1"/>
      </w:pPr>
      <w:bookmarkStart w:id="4" w:name="O_1242218"/>
      <w:bookmarkEnd w:id="4"/>
      <w:r w:rsidRPr="00363F61">
        <w:t>Unit Sector</w:t>
      </w:r>
    </w:p>
    <w:p w:rsidR="00000000" w:rsidRPr="00363F61" w:rsidP="00B1313C">
      <w:pPr>
        <w:pStyle w:val="BodyText"/>
      </w:pPr>
      <w:r w:rsidRPr="00363F61">
        <w:t>Sawmilling and Processing (SAW)</w:t>
      </w:r>
    </w:p>
    <w:p w:rsidR="00000000" w:rsidRPr="00363F61" w:rsidP="00363F61">
      <w:pPr>
        <w:pStyle w:val="Heading1"/>
      </w:pPr>
      <w:bookmarkStart w:id="5" w:name="O_1242219"/>
      <w:bookmarkEnd w:id="5"/>
      <w:r w:rsidRPr="00363F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131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Bold"/>
              <w:rPr>
                <w:lang w:val="en-NZ"/>
              </w:rPr>
            </w:pPr>
            <w:r w:rsidRPr="00363F6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Bold"/>
              <w:rPr>
                <w:lang w:val="en-NZ"/>
              </w:rPr>
            </w:pPr>
            <w:r w:rsidRPr="00363F61">
              <w:t>Performance Criteria</w:t>
            </w:r>
          </w:p>
        </w:tc>
      </w:tr>
      <w:tr w:rsidTr="00B131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61" w:rsidP="00363F61">
            <w:pPr>
              <w:pStyle w:val="BodyText"/>
            </w:pPr>
            <w:r w:rsidRPr="00363F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31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>1. Assemble portable sawmill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61" w:rsidP="00363F61">
            <w:pPr>
              <w:pStyle w:val="BodyText"/>
            </w:pPr>
            <w:r w:rsidRPr="00363F61">
              <w:t>1.1 Determine job requirements from work order or instructions and, where required, confirm with appropriate personnel</w:t>
            </w:r>
          </w:p>
          <w:p w:rsidR="00000000" w:rsidRPr="00363F61" w:rsidP="00363F61">
            <w:pPr>
              <w:pStyle w:val="BodyText"/>
            </w:pPr>
            <w:r w:rsidRPr="00363F61">
              <w:t>1.2 Confirm</w:t>
            </w:r>
            <w:r w:rsidRPr="00363F61">
              <w:t xml:space="preserve"> workplace health and safety and environmental protection practices and/or procedures for task, including use of personal </w:t>
            </w:r>
            <w:r w:rsidRPr="00363F61">
              <w:t>protective equipment, equipment lock-out and safe manual handling</w:t>
            </w:r>
          </w:p>
          <w:p w:rsidR="00000000" w:rsidRPr="00363F61" w:rsidP="00363F61">
            <w:pPr>
              <w:pStyle w:val="BodyText"/>
            </w:pPr>
            <w:r w:rsidRPr="00363F61">
              <w:t>1.3 Identify and assess hazards and take actions to mitigate risks r</w:t>
            </w:r>
            <w:r w:rsidRPr="00363F61">
              <w:t xml:space="preserve">elated to </w:t>
            </w:r>
            <w:r w:rsidRPr="00363F61">
              <w:rPr>
                <w:rStyle w:val="SpecialBold"/>
              </w:rPr>
              <w:t>a</w:t>
            </w:r>
            <w:r w:rsidRPr="00363F61">
              <w:t xml:space="preserve">ssembling, operating and dismantling portable sawmills </w:t>
            </w:r>
          </w:p>
          <w:p w:rsidR="00000000" w:rsidRPr="00363F61" w:rsidP="00363F61">
            <w:pPr>
              <w:pStyle w:val="BodyText"/>
            </w:pPr>
            <w:r w:rsidRPr="00363F61">
              <w:t>1.4 Inspect suitability of proposed worksite and identify potential workflow interferences</w:t>
            </w:r>
          </w:p>
          <w:p w:rsidR="00000000" w:rsidRPr="00363F61" w:rsidP="00363F61">
            <w:pPr>
              <w:pStyle w:val="BodyText"/>
            </w:pPr>
            <w:r w:rsidRPr="00363F61">
              <w:t>1.5 Identify safe location for equipment, logs, stacking of sawn timber and waste</w:t>
            </w:r>
          </w:p>
          <w:p w:rsidR="00000000" w:rsidRPr="00363F61" w:rsidP="00363F61">
            <w:pPr>
              <w:pStyle w:val="BodyText"/>
            </w:pPr>
            <w:r w:rsidRPr="00363F61">
              <w:t>1.6 Assemble portable sawmill on site according to manufacturer instructions</w:t>
            </w:r>
          </w:p>
          <w:p w:rsidR="00000000" w:rsidRPr="00363F61" w:rsidP="00363F61">
            <w:pPr>
              <w:pStyle w:val="BodyText"/>
            </w:pPr>
            <w:r w:rsidRPr="00363F61">
              <w:t xml:space="preserve">1.7 Complete pre-operational checks on portable sawmill </w:t>
            </w:r>
          </w:p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>1.8 Conduct test run of portable sawmill and resolve or report processing and equipment faults</w:t>
            </w:r>
          </w:p>
        </w:tc>
      </w:tr>
      <w:tr w:rsidTr="00B131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>2. Saw logs using portable</w:t>
            </w:r>
            <w:r w:rsidRPr="00363F61">
              <w:t xml:space="preserve"> sawmill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61" w:rsidP="00363F61">
            <w:pPr>
              <w:pStyle w:val="BodyText"/>
            </w:pPr>
            <w:r w:rsidRPr="00363F61">
              <w:t>2.1 Use cant hooks, winches or log rollers to position logs to be sawn and stabilise with chock logs or pre-notched runners</w:t>
            </w:r>
          </w:p>
          <w:p w:rsidR="00000000" w:rsidRPr="00363F61" w:rsidP="00363F61">
            <w:pPr>
              <w:pStyle w:val="BodyText"/>
            </w:pPr>
            <w:r w:rsidRPr="00363F61">
              <w:t>2.2 Determine sawn timber dimensions from customer order or work order</w:t>
            </w:r>
          </w:p>
          <w:p w:rsidR="00000000" w:rsidRPr="00363F61" w:rsidP="00363F61">
            <w:pPr>
              <w:pStyle w:val="BodyText"/>
            </w:pPr>
            <w:r w:rsidRPr="00363F61">
              <w:t>2.3 Identify log characteristics and estimate number</w:t>
            </w:r>
            <w:r w:rsidRPr="00363F61">
              <w:t xml:space="preserve"> of timber boards and sequence of cuts from an individual log</w:t>
            </w:r>
          </w:p>
          <w:p w:rsidR="00000000" w:rsidRPr="00363F61" w:rsidP="00363F61">
            <w:pPr>
              <w:pStyle w:val="BodyText"/>
            </w:pPr>
            <w:r w:rsidRPr="00363F61">
              <w:t>2.4 Adjust saw, carriage and mill to suit dimensions of boards to be cut</w:t>
            </w:r>
          </w:p>
          <w:p w:rsidR="00000000" w:rsidRPr="00363F61" w:rsidP="00363F61">
            <w:pPr>
              <w:pStyle w:val="BodyText"/>
            </w:pPr>
            <w:r w:rsidRPr="00363F61">
              <w:t>2.5 Operate portable sawmill, ensuring that sawn edges are controlled</w:t>
            </w:r>
          </w:p>
          <w:p w:rsidR="00000000" w:rsidRPr="00363F61" w:rsidP="00363F61">
            <w:pPr>
              <w:pStyle w:val="BodyText"/>
            </w:pPr>
            <w:r w:rsidRPr="00363F61">
              <w:t>2.6 Remove logs with defects, reject boards and off</w:t>
            </w:r>
            <w:r w:rsidRPr="00363F61">
              <w:t>-cuts to waste or sawn recovery</w:t>
            </w:r>
          </w:p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>2.7 Record and report process and equipment faults</w:t>
            </w:r>
          </w:p>
        </w:tc>
      </w:tr>
      <w:tr w:rsidTr="00B131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>3. Conduct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61" w:rsidP="00363F61">
            <w:pPr>
              <w:pStyle w:val="BodyText"/>
            </w:pPr>
            <w:r w:rsidRPr="00363F61">
              <w:t>3.1 Lock out and isolate portable sawmill according to workplace health and safety procedures</w:t>
            </w:r>
          </w:p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 xml:space="preserve">3.2 Check saw and saw blades for bluntness or </w:t>
            </w:r>
            <w:r w:rsidRPr="00363F61">
              <w:t>damage, and repair or replace according to manufacturer instructions</w:t>
            </w:r>
          </w:p>
        </w:tc>
      </w:tr>
      <w:tr w:rsidTr="00B131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>4. Dismantle portable sawmill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61" w:rsidP="00363F61">
            <w:pPr>
              <w:pStyle w:val="BodyText"/>
            </w:pPr>
            <w:r w:rsidRPr="00363F61">
              <w:t xml:space="preserve">4.1 Dismantle portable sawmill according to manufacturer instructions </w:t>
            </w:r>
          </w:p>
          <w:p w:rsidR="00000000" w:rsidRPr="00363F61" w:rsidP="00363F61">
            <w:pPr>
              <w:pStyle w:val="BodyText"/>
            </w:pPr>
            <w:r w:rsidRPr="00363F61">
              <w:t>4.2 Load and secure dismantled sawmill equipment for transportation</w:t>
            </w:r>
          </w:p>
          <w:p w:rsidR="00000000" w:rsidRPr="00363F61" w:rsidP="00363F61">
            <w:pPr>
              <w:pStyle w:val="BodyText"/>
            </w:pPr>
            <w:r w:rsidRPr="00363F61">
              <w:t xml:space="preserve">4.3 Restore work </w:t>
            </w:r>
            <w:r w:rsidRPr="00363F61">
              <w:t>site according to workplace environmental protection practices and/or procedures</w:t>
            </w:r>
          </w:p>
        </w:tc>
      </w:tr>
    </w:tbl>
    <w:p w:rsidR="00000000" w:rsidRPr="00363F61" w:rsidP="00363F61">
      <w:pPr>
        <w:pStyle w:val="BodyText"/>
      </w:pPr>
    </w:p>
    <w:p w:rsidR="00000000" w:rsidRPr="00363F61" w:rsidP="00363F61">
      <w:pPr>
        <w:pStyle w:val="AllowPageBreak"/>
      </w:pPr>
    </w:p>
    <w:p w:rsidR="00000000" w:rsidRPr="00363F61" w:rsidP="00363F61">
      <w:pPr>
        <w:pStyle w:val="Heading1"/>
      </w:pPr>
      <w:bookmarkStart w:id="6" w:name="O_1242220"/>
      <w:bookmarkEnd w:id="6"/>
      <w:r w:rsidRPr="00363F61">
        <w:t>Foundation Skills</w:t>
      </w:r>
    </w:p>
    <w:p w:rsidR="00000000" w:rsidRPr="00B1313C" w:rsidP="00B1313C">
      <w:pPr>
        <w:pStyle w:val="BodyText"/>
        <w:rPr>
          <w:i/>
        </w:rPr>
      </w:pPr>
      <w:r w:rsidRPr="00B1313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3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Bold"/>
              <w:rPr>
                <w:lang w:val="en-NZ"/>
              </w:rPr>
            </w:pPr>
            <w:r w:rsidRPr="00363F6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Bold"/>
              <w:rPr>
                <w:lang w:val="en-NZ"/>
              </w:rPr>
            </w:pPr>
            <w:r w:rsidRPr="00363F61">
              <w:t>Description</w:t>
            </w:r>
          </w:p>
        </w:tc>
      </w:tr>
      <w:tr w:rsidTr="00363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ListBullet"/>
              <w:rPr>
                <w:lang w:val="en-NZ"/>
              </w:rPr>
            </w:pPr>
            <w:r w:rsidRPr="00363F61">
              <w:t>Interpret routine workplace documen</w:t>
            </w:r>
            <w:r w:rsidRPr="00363F61">
              <w:t xml:space="preserve">ts relevant to portable sawmilling operations </w:t>
            </w:r>
          </w:p>
        </w:tc>
      </w:tr>
      <w:tr w:rsidTr="00363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ListBullet"/>
              <w:rPr>
                <w:lang w:val="en-NZ"/>
              </w:rPr>
            </w:pPr>
            <w:r w:rsidRPr="00363F61">
              <w:t>Complete routine workplace records used in sawmilling operations</w:t>
            </w:r>
          </w:p>
        </w:tc>
      </w:tr>
      <w:tr w:rsidTr="00363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ListBullet"/>
              <w:rPr>
                <w:lang w:val="en-NZ"/>
              </w:rPr>
            </w:pPr>
            <w:r w:rsidRPr="00363F61">
              <w:t>Ask open and closed questions and actively listen to clarify contents of work orders</w:t>
            </w:r>
          </w:p>
        </w:tc>
      </w:tr>
      <w:tr w:rsidTr="00363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61" w:rsidP="00363F61">
            <w:pPr>
              <w:pStyle w:val="ListBullet"/>
            </w:pPr>
            <w:r w:rsidRPr="00363F61">
              <w:t>Interpret routine numerical information in work orders</w:t>
            </w:r>
          </w:p>
          <w:p w:rsidR="00000000" w:rsidRPr="00363F61" w:rsidP="00363F61">
            <w:pPr>
              <w:pStyle w:val="ListBullet"/>
            </w:pPr>
            <w:r w:rsidRPr="00363F61">
              <w:t>Perform routine calculations or estimations of number and dimension relevant to sawmilling operations</w:t>
            </w:r>
          </w:p>
        </w:tc>
      </w:tr>
    </w:tbl>
    <w:p w:rsidR="00000000" w:rsidRPr="00363F61" w:rsidP="00363F61">
      <w:pPr>
        <w:pStyle w:val="BodyText"/>
      </w:pPr>
    </w:p>
    <w:p w:rsidR="00000000" w:rsidRPr="00363F61" w:rsidP="00363F61">
      <w:pPr>
        <w:pStyle w:val="AllowPageBreak"/>
      </w:pPr>
    </w:p>
    <w:p w:rsidR="00000000" w:rsidRPr="00363F61" w:rsidP="00363F61">
      <w:pPr>
        <w:pStyle w:val="Heading1"/>
      </w:pPr>
      <w:bookmarkStart w:id="7" w:name="O_1242222"/>
      <w:bookmarkEnd w:id="7"/>
      <w:r w:rsidRPr="00363F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63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Bold"/>
              <w:rPr>
                <w:lang w:val="en-NZ"/>
              </w:rPr>
            </w:pPr>
            <w:r w:rsidRPr="00363F6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Bold"/>
              <w:rPr>
                <w:lang w:val="en-NZ"/>
              </w:rPr>
            </w:pPr>
            <w:r w:rsidRPr="00363F6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Bold"/>
              <w:rPr>
                <w:lang w:val="en-NZ"/>
              </w:rPr>
            </w:pPr>
            <w:r w:rsidRPr="00363F6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Bold"/>
              <w:rPr>
                <w:lang w:val="en-NZ"/>
              </w:rPr>
            </w:pPr>
            <w:r w:rsidRPr="00363F61">
              <w:t>Equivalence status</w:t>
            </w:r>
          </w:p>
        </w:tc>
      </w:tr>
      <w:tr w:rsidTr="00363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>FWPSAW3252 Assemble, operate and dismantle a portable sawmill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>FWPSAW2209 Dismantle, transport and assemble hand portable sawmill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>Redesigned unit that includes content from FWPSAW2209 Dismantle, t</w:t>
            </w:r>
            <w:r w:rsidRPr="00363F61">
              <w:t xml:space="preserve">ransport and assemble hand portable sawmill and FWPSAW3229 Operate a portable sawmill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>Not equivalent</w:t>
            </w:r>
          </w:p>
        </w:tc>
      </w:tr>
      <w:tr w:rsidTr="00363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>FWPSAW3252 Assemble, operate and dismantle a portable sawmill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>FWPSAW3229 Operate a portable sawmill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61">
            <w:pPr>
              <w:pStyle w:val="BodyText"/>
              <w:rPr>
                <w:lang w:val="en-NZ"/>
              </w:rPr>
            </w:pPr>
            <w:r w:rsidRPr="00363F61">
              <w:t>Redesigned unit that includes content from FWPSAW2209</w:t>
            </w:r>
            <w:r w:rsidRPr="00363F61">
              <w:t xml:space="preserve"> Dismantle, transport and assemble hand portable sawmill and FWPSAW3229 Operate a portable sawmill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61" w:rsidP="00363F61">
            <w:pPr>
              <w:pStyle w:val="BodyText"/>
            </w:pPr>
            <w:r w:rsidRPr="00363F61">
              <w:t>Not equivalent</w:t>
            </w:r>
          </w:p>
        </w:tc>
      </w:tr>
    </w:tbl>
    <w:p w:rsidR="00000000" w:rsidRPr="00363F61" w:rsidP="00363F61">
      <w:pPr>
        <w:pStyle w:val="BodyText"/>
      </w:pPr>
    </w:p>
    <w:p w:rsidR="00000000" w:rsidRPr="00363F61" w:rsidP="00363F61">
      <w:pPr>
        <w:pStyle w:val="AllowPageBreak"/>
      </w:pPr>
    </w:p>
    <w:p w:rsidR="00000000" w:rsidRPr="00363F61" w:rsidP="00363F61">
      <w:pPr>
        <w:pStyle w:val="Heading1"/>
      </w:pPr>
      <w:bookmarkStart w:id="8" w:name="O_1242229"/>
      <w:bookmarkEnd w:id="8"/>
      <w:r w:rsidRPr="00363F61">
        <w:t>Links</w:t>
      </w:r>
    </w:p>
    <w:p w:rsidR="00000000" w:rsidRPr="00363F61" w:rsidP="00B1313C">
      <w:pPr>
        <w:pStyle w:val="BodyText"/>
      </w:pPr>
      <w:r w:rsidRPr="00363F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90A1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63F61" w:rsidP="00363F61"/>
    <w:sectPr w:rsidSect="00363F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61" w:rsidRPr="00B1313C" w:rsidP="00B131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3C" w:rsidP="00363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13C" w:rsidP="00363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1313C" w:rsidP="00363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F61" w:rsidRPr="00B1313C" w:rsidP="00B131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3C" w:rsidRPr="002D2AF8" w:rsidP="00363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FWPSAW3252 Assemble, operate and dismantle a portable sawmill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B1313C" w:rsidP="00363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248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BEE9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F61"/>
  </w:style>
  <w:style w:type="character" w:customStyle="1" w:styleId="Heading1Char">
    <w:name w:val="Heading 1 Char"/>
    <w:basedOn w:val="DefaultParagraphFont"/>
    <w:link w:val="Heading1"/>
    <w:rsid w:val="00363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F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F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F61"/>
    <w:rPr>
      <w:b/>
      <w:spacing w:val="0"/>
    </w:rPr>
  </w:style>
  <w:style w:type="character" w:styleId="Emphasis">
    <w:name w:val="Emphasis"/>
    <w:basedOn w:val="DefaultParagraphFont"/>
    <w:qFormat/>
    <w:rsid w:val="00363F61"/>
    <w:rPr>
      <w:i/>
    </w:rPr>
  </w:style>
  <w:style w:type="paragraph" w:customStyle="1" w:styleId="SuperHeading">
    <w:name w:val="SuperHeading"/>
    <w:basedOn w:val="Normal"/>
    <w:rsid w:val="00363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3F61"/>
    <w:rPr>
      <w:b/>
    </w:rPr>
  </w:style>
  <w:style w:type="character" w:customStyle="1" w:styleId="Heading2Char">
    <w:name w:val="Heading 2 Char"/>
    <w:basedOn w:val="DefaultParagraphFont"/>
    <w:link w:val="Heading2"/>
    <w:rsid w:val="00363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F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F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3F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3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F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F61"/>
  </w:style>
  <w:style w:type="paragraph" w:styleId="TableofFigures">
    <w:name w:val="table of figures"/>
    <w:basedOn w:val="Normal"/>
    <w:next w:val="Normal"/>
    <w:semiHidden/>
    <w:rsid w:val="00363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F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3F61"/>
    <w:rPr>
      <w:rFonts w:ascii="Wingdings" w:hAnsi="Wingdings"/>
    </w:rPr>
  </w:style>
  <w:style w:type="paragraph" w:customStyle="1" w:styleId="TableHeading">
    <w:name w:val="Table Heading"/>
    <w:basedOn w:val="HeadingBase"/>
    <w:rsid w:val="00363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F61"/>
    <w:rPr>
      <w:color w:val="0033CC"/>
      <w:u w:val="none"/>
    </w:rPr>
  </w:style>
  <w:style w:type="paragraph" w:customStyle="1" w:styleId="BodyTextRight">
    <w:name w:val="Body Text Right"/>
    <w:basedOn w:val="BodyText"/>
    <w:rsid w:val="00363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F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F61"/>
    <w:rPr>
      <w:sz w:val="32"/>
    </w:rPr>
  </w:style>
  <w:style w:type="paragraph" w:customStyle="1" w:styleId="HeadingProcedure">
    <w:name w:val="Heading Procedure"/>
    <w:basedOn w:val="HeadingBase"/>
    <w:next w:val="Normal"/>
    <w:rsid w:val="00363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F61"/>
    <w:pPr>
      <w:spacing w:before="60" w:after="60"/>
    </w:pPr>
  </w:style>
  <w:style w:type="paragraph" w:styleId="ListContinue">
    <w:name w:val="List Continue"/>
    <w:basedOn w:val="List"/>
    <w:rsid w:val="00363F61"/>
    <w:pPr>
      <w:ind w:firstLine="0"/>
    </w:pPr>
  </w:style>
  <w:style w:type="paragraph" w:customStyle="1" w:styleId="ListNote">
    <w:name w:val="List Note"/>
    <w:basedOn w:val="List"/>
    <w:rsid w:val="00363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F61"/>
    <w:rPr>
      <w:rFonts w:ascii="Courier New" w:hAnsi="Courier New"/>
    </w:rPr>
  </w:style>
  <w:style w:type="paragraph" w:customStyle="1" w:styleId="NoteBullet">
    <w:name w:val="Note Bullet"/>
    <w:basedOn w:val="Note"/>
    <w:rsid w:val="00363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F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3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F61"/>
    <w:rPr>
      <w:b/>
      <w:smallCaps/>
    </w:rPr>
  </w:style>
  <w:style w:type="paragraph" w:customStyle="1" w:styleId="TableListNumber">
    <w:name w:val="Table List Number"/>
    <w:basedOn w:val="ListNumber"/>
    <w:rsid w:val="00363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F61"/>
    <w:pPr>
      <w:numPr>
        <w:numId w:val="8"/>
      </w:numPr>
    </w:pPr>
  </w:style>
  <w:style w:type="paragraph" w:customStyle="1" w:styleId="ListAlpha2">
    <w:name w:val="List Alpha 2"/>
    <w:basedOn w:val="List2"/>
    <w:rsid w:val="00363F61"/>
    <w:pPr>
      <w:numPr>
        <w:numId w:val="7"/>
      </w:numPr>
    </w:pPr>
  </w:style>
  <w:style w:type="paragraph" w:styleId="List2">
    <w:name w:val="List 2"/>
    <w:basedOn w:val="BodyText"/>
    <w:rsid w:val="00363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F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F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3F61"/>
    <w:pPr>
      <w:numPr>
        <w:numId w:val="3"/>
      </w:numPr>
    </w:pPr>
  </w:style>
  <w:style w:type="paragraph" w:styleId="ListContinue2">
    <w:name w:val="List Continue 2"/>
    <w:basedOn w:val="List2"/>
    <w:rsid w:val="00363F61"/>
    <w:pPr>
      <w:ind w:firstLine="0"/>
    </w:pPr>
  </w:style>
  <w:style w:type="paragraph" w:styleId="ListContinue3">
    <w:name w:val="List Continue 3"/>
    <w:basedOn w:val="List3"/>
    <w:rsid w:val="00363F61"/>
    <w:pPr>
      <w:ind w:left="1021" w:firstLine="0"/>
    </w:pPr>
  </w:style>
  <w:style w:type="paragraph" w:styleId="ListContinue4">
    <w:name w:val="List Continue 4"/>
    <w:basedOn w:val="List4"/>
    <w:rsid w:val="00363F61"/>
    <w:pPr>
      <w:ind w:firstLine="0"/>
    </w:pPr>
  </w:style>
  <w:style w:type="paragraph" w:styleId="ListContinue5">
    <w:name w:val="List Continue 5"/>
    <w:basedOn w:val="List5"/>
    <w:rsid w:val="00363F61"/>
    <w:pPr>
      <w:ind w:firstLine="0"/>
    </w:pPr>
  </w:style>
  <w:style w:type="paragraph" w:styleId="ListNumber3">
    <w:name w:val="List Number 3"/>
    <w:basedOn w:val="List3"/>
    <w:rsid w:val="00363F61"/>
    <w:pPr>
      <w:numPr>
        <w:numId w:val="4"/>
      </w:numPr>
    </w:pPr>
  </w:style>
  <w:style w:type="paragraph" w:styleId="ListNumber4">
    <w:name w:val="List Number 4"/>
    <w:basedOn w:val="List4"/>
    <w:rsid w:val="00363F61"/>
    <w:pPr>
      <w:numPr>
        <w:numId w:val="5"/>
      </w:numPr>
    </w:pPr>
  </w:style>
  <w:style w:type="paragraph" w:styleId="ListNumber5">
    <w:name w:val="List Number 5"/>
    <w:basedOn w:val="List5"/>
    <w:rsid w:val="00363F61"/>
    <w:pPr>
      <w:numPr>
        <w:numId w:val="6"/>
      </w:numPr>
    </w:pPr>
  </w:style>
  <w:style w:type="paragraph" w:styleId="BlockText">
    <w:name w:val="Block Text"/>
    <w:basedOn w:val="Normal"/>
    <w:rsid w:val="00363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F61"/>
    <w:rPr>
      <w:sz w:val="16"/>
      <w:vertAlign w:val="superscript"/>
    </w:rPr>
  </w:style>
  <w:style w:type="character" w:customStyle="1" w:styleId="Symbols">
    <w:name w:val="Symbols"/>
    <w:basedOn w:val="DefaultParagraphFont"/>
    <w:rsid w:val="00363F61"/>
    <w:rPr>
      <w:rFonts w:ascii="Symbol" w:hAnsi="Symbol"/>
    </w:rPr>
  </w:style>
  <w:style w:type="character" w:customStyle="1" w:styleId="MenuOptions">
    <w:name w:val="Menu Options"/>
    <w:basedOn w:val="DefaultParagraphFont"/>
    <w:rsid w:val="00363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F61"/>
    <w:rPr>
      <w:b/>
    </w:rPr>
  </w:style>
  <w:style w:type="character" w:customStyle="1" w:styleId="Underlined">
    <w:name w:val="Underlined"/>
    <w:basedOn w:val="DefaultParagraphFont"/>
    <w:rsid w:val="00363F61"/>
    <w:rPr>
      <w:u w:val="single"/>
    </w:rPr>
  </w:style>
  <w:style w:type="paragraph" w:customStyle="1" w:styleId="TableBodyTextRight">
    <w:name w:val="Table Body Text Right"/>
    <w:basedOn w:val="TableBodyText"/>
    <w:rsid w:val="00363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F61"/>
    <w:rPr>
      <w:sz w:val="18"/>
    </w:rPr>
  </w:style>
  <w:style w:type="paragraph" w:customStyle="1" w:styleId="BodySmallRight">
    <w:name w:val="Body Small Right"/>
    <w:basedOn w:val="BodyTextRight"/>
    <w:rsid w:val="00363F61"/>
    <w:rPr>
      <w:sz w:val="18"/>
      <w:szCs w:val="18"/>
    </w:rPr>
  </w:style>
  <w:style w:type="paragraph" w:customStyle="1" w:styleId="MarginEdition">
    <w:name w:val="Margin Edition"/>
    <w:basedOn w:val="MarginNote"/>
    <w:rsid w:val="00363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F61"/>
    <w:rPr>
      <w:sz w:val="2"/>
      <w:szCs w:val="2"/>
    </w:rPr>
  </w:style>
  <w:style w:type="character" w:customStyle="1" w:styleId="Small">
    <w:name w:val="Small"/>
    <w:basedOn w:val="DefaultParagraphFont"/>
    <w:rsid w:val="00363F61"/>
    <w:rPr>
      <w:sz w:val="16"/>
    </w:rPr>
  </w:style>
  <w:style w:type="paragraph" w:customStyle="1" w:styleId="WideTable">
    <w:name w:val="Wide Table"/>
    <w:basedOn w:val="Normal"/>
    <w:rsid w:val="00363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F61"/>
  </w:style>
  <w:style w:type="paragraph" w:styleId="Quote">
    <w:name w:val="Quote"/>
    <w:basedOn w:val="Heading1"/>
    <w:link w:val="QuoteChar"/>
    <w:qFormat/>
    <w:rsid w:val="00363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F61"/>
    <w:pPr>
      <w:pageBreakBefore/>
    </w:pPr>
  </w:style>
  <w:style w:type="paragraph" w:customStyle="1" w:styleId="Border">
    <w:name w:val="Border"/>
    <w:basedOn w:val="Normal"/>
    <w:qFormat/>
    <w:rsid w:val="00363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F61"/>
    <w:rPr>
      <w:u w:val="single"/>
    </w:rPr>
  </w:style>
  <w:style w:type="character" w:customStyle="1" w:styleId="BoldandItalics">
    <w:name w:val="Bold and Italics"/>
    <w:qFormat/>
    <w:rsid w:val="00363F61"/>
    <w:rPr>
      <w:b/>
      <w:i/>
      <w:u w:val="none"/>
    </w:rPr>
  </w:style>
  <w:style w:type="paragraph" w:styleId="BalloonText">
    <w:name w:val="Balloon Text"/>
    <w:basedOn w:val="Normal"/>
    <w:link w:val="BalloonTextChar"/>
    <w:rsid w:val="00363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F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31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</Words>
  <Characters>4118</Characters>
  <Application>Microsoft Office Word</Application>
  <DocSecurity>0</DocSecurity>
  <Lines>158</Lines>
  <Paragraphs>88</Paragraphs>
  <ScaleCrop>false</ScaleCrop>
  <Company>Author-it Software Corporation Ltd.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FWPSAW3252 Assemble, operate and dismantle a portable sawmill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2024-09-27T00:53:00Z</dcterms:created>
  <dcterms:modified xsi:type="dcterms:W3CDTF">2024-09-27T00:53:00Z</dcterms:modified>
</cp:coreProperties>
</file>