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454" w:rsidP="001D5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FWPSAW3239 Assess and maintain wide band saw blades</w:t>
      </w:r>
      <w:r>
        <w:fldChar w:fldCharType="end"/>
      </w:r>
    </w:p>
    <w:p w:rsidR="001D5454" w:rsidP="001D5454">
      <w:pPr>
        <w:pStyle w:val="Version"/>
        <w:sectPr w:rsidSect="007B4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BD2" w:rsidP="007B4BD2">
      <w:pPr>
        <w:pStyle w:val="SuperHeading"/>
      </w:pPr>
      <w:r w:rsidRPr="007B4BD2">
        <w:t>FWPSAW3239 Assess and maintain wide band saw blades</w:t>
      </w:r>
    </w:p>
    <w:p w:rsidR="00000000" w:rsidRPr="007B4BD2" w:rsidP="007B4BD2">
      <w:pPr>
        <w:pStyle w:val="Heading1"/>
      </w:pPr>
      <w:bookmarkStart w:id="1" w:name="O_1047144"/>
      <w:bookmarkEnd w:id="1"/>
      <w:r w:rsidRPr="007B4B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Comments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>This version released with FWP Forest and Wood Products Training Package Version 5.0.</w:t>
            </w:r>
          </w:p>
        </w:tc>
      </w:tr>
    </w:tbl>
    <w:p w:rsidR="00000000" w:rsidRPr="007B4BD2" w:rsidP="007B4BD2">
      <w:pPr>
        <w:pStyle w:val="BodyText"/>
      </w:pPr>
    </w:p>
    <w:p w:rsidR="00000000" w:rsidRPr="007B4BD2" w:rsidP="007B4BD2">
      <w:pPr>
        <w:pStyle w:val="AllowPageBreak"/>
      </w:pPr>
    </w:p>
    <w:p w:rsidR="00000000" w:rsidRPr="007B4BD2" w:rsidP="007B4BD2">
      <w:pPr>
        <w:pStyle w:val="Heading1"/>
      </w:pPr>
      <w:bookmarkStart w:id="2" w:name="O_1047145"/>
      <w:bookmarkEnd w:id="2"/>
      <w:r w:rsidRPr="007B4BD2">
        <w:t>Application</w:t>
      </w:r>
    </w:p>
    <w:p w:rsidR="00000000" w:rsidRPr="007B4BD2" w:rsidP="001D5454">
      <w:pPr>
        <w:pStyle w:val="BodyText"/>
      </w:pPr>
      <w:r w:rsidRPr="007B4BD2">
        <w:t>This unit of competency describes the skills and knowledge required to level, t</w:t>
      </w:r>
      <w:r w:rsidRPr="007B4BD2">
        <w:t>ension, back gauge, weld and replace teeth on wide band saw blades that are over 70mm in width.</w:t>
      </w:r>
    </w:p>
    <w:p w:rsidR="00000000" w:rsidRPr="007B4BD2" w:rsidP="001D5454">
      <w:pPr>
        <w:pStyle w:val="BodyText"/>
      </w:pPr>
      <w:r w:rsidRPr="007B4BD2">
        <w:t>The unit applies to individuals who maintain wide band saw blades in a forest and forest product factory setting.</w:t>
      </w:r>
    </w:p>
    <w:p w:rsidR="00000000" w:rsidRPr="007B4BD2" w:rsidP="001D5454">
      <w:pPr>
        <w:pStyle w:val="BodyText"/>
      </w:pPr>
      <w:r w:rsidRPr="007B4BD2">
        <w:t>All work must be carried out to comply with wo</w:t>
      </w:r>
      <w:r w:rsidRPr="007B4BD2">
        <w:t>rkplace procedures, according to state/territory health and safety regulations, legislation and standards that apply to the workplace.</w:t>
      </w:r>
    </w:p>
    <w:p w:rsidR="00000000" w:rsidRPr="007B4BD2" w:rsidP="001D5454">
      <w:pPr>
        <w:pStyle w:val="BodyText"/>
      </w:pPr>
      <w:r w:rsidRPr="007B4BD2">
        <w:t>No licensing, legislative or certification requirements apply to this unit at the time of publication.</w:t>
      </w:r>
    </w:p>
    <w:p w:rsidR="00000000" w:rsidRPr="007B4BD2" w:rsidP="007B4BD2">
      <w:pPr>
        <w:pStyle w:val="Heading1"/>
      </w:pPr>
      <w:bookmarkStart w:id="3" w:name="O_1047146"/>
      <w:bookmarkEnd w:id="3"/>
      <w:r w:rsidRPr="007B4BD2">
        <w:t>Pre-requisite Unit</w:t>
      </w:r>
    </w:p>
    <w:p w:rsidR="00000000" w:rsidRPr="007B4BD2" w:rsidP="001D5454">
      <w:pPr>
        <w:pStyle w:val="BodyText"/>
      </w:pPr>
      <w:r w:rsidRPr="007B4BD2">
        <w:t>Nil</w:t>
      </w:r>
    </w:p>
    <w:p w:rsidR="00000000" w:rsidRPr="007B4BD2" w:rsidP="007B4BD2">
      <w:pPr>
        <w:pStyle w:val="Heading1"/>
      </w:pPr>
      <w:bookmarkStart w:id="4" w:name="O_1047148"/>
      <w:bookmarkEnd w:id="4"/>
      <w:r w:rsidRPr="007B4BD2">
        <w:t>Unit Sector</w:t>
      </w:r>
    </w:p>
    <w:p w:rsidR="00000000" w:rsidRPr="007B4BD2" w:rsidP="001D5454">
      <w:pPr>
        <w:pStyle w:val="BodyText"/>
      </w:pPr>
      <w:r w:rsidRPr="007B4BD2">
        <w:t>Sawmilling and Processing (SAW)</w:t>
      </w:r>
    </w:p>
    <w:p w:rsidR="00000000" w:rsidRPr="007B4BD2" w:rsidP="007B4BD2">
      <w:pPr>
        <w:pStyle w:val="Heading1"/>
      </w:pPr>
      <w:bookmarkStart w:id="5" w:name="O_1047149"/>
      <w:bookmarkEnd w:id="5"/>
      <w:r w:rsidRPr="007B4B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5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Performance Criteria</w:t>
            </w:r>
          </w:p>
        </w:tc>
      </w:tr>
      <w:tr w:rsidTr="001D5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1.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>1.1 Review work order to determine job requirements and, where required, seek clarification from appropriate personnel</w:t>
            </w:r>
          </w:p>
          <w:p w:rsidR="00000000" w:rsidRPr="007B4BD2" w:rsidP="007B4BD2">
            <w:pPr>
              <w:pStyle w:val="BodyText"/>
            </w:pPr>
            <w:r w:rsidRPr="007B4BD2">
              <w:t>1.2 Review en</w:t>
            </w:r>
            <w:r w:rsidRPr="007B4BD2">
              <w:t xml:space="preserve">vironmental protection procedures and workplace health and safety requirements, including the use of personal protective </w:t>
            </w:r>
            <w:r w:rsidRPr="007B4BD2">
              <w:t>equipment, equipment lock-out and safe manual handling techniques</w:t>
            </w:r>
          </w:p>
          <w:p w:rsidR="00000000" w:rsidRPr="007B4BD2" w:rsidP="007B4BD2">
            <w:pPr>
              <w:pStyle w:val="BodyText"/>
            </w:pPr>
            <w:r w:rsidRPr="007B4BD2">
              <w:t>1.3 Identify, assess and take actions to mitigate risks and hazards a</w:t>
            </w:r>
            <w:r w:rsidRPr="007B4BD2">
              <w:t>ssociated with maintaining wide band saw blades</w:t>
            </w:r>
          </w:p>
          <w:p w:rsidR="00000000" w:rsidRPr="007B4BD2" w:rsidP="007B4BD2">
            <w:pPr>
              <w:pStyle w:val="BodyText"/>
            </w:pPr>
            <w:r w:rsidRPr="007B4BD2">
              <w:t>1.4 Identify and implement workplace procedures for minimising waste material and maximising energy efficiency</w:t>
            </w:r>
          </w:p>
          <w:p w:rsidR="00000000" w:rsidRPr="007B4BD2" w:rsidP="007B4BD2">
            <w:pPr>
              <w:pStyle w:val="BodyText"/>
            </w:pPr>
            <w:r w:rsidRPr="007B4BD2">
              <w:t>1.5 Select appropriate tools and equipment, and check for operational effectiveness according to manufacturer recommendations</w:t>
            </w:r>
          </w:p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1.6 Plan maintenance process according to work order and workplace requirements</w:t>
            </w:r>
          </w:p>
        </w:tc>
      </w:tr>
      <w:tr w:rsidTr="001D5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2. Assess saw blade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>2.1 Remove wide ban</w:t>
            </w:r>
            <w:r w:rsidRPr="007B4BD2">
              <w:t>d saw blade from machinery</w:t>
            </w:r>
          </w:p>
          <w:p w:rsidR="00000000" w:rsidRPr="007B4BD2" w:rsidP="007B4BD2">
            <w:pPr>
              <w:pStyle w:val="BodyText"/>
            </w:pPr>
            <w:r w:rsidRPr="007B4BD2">
              <w:t>2.2 Handle saw blade to avoid damaging teeth</w:t>
            </w:r>
          </w:p>
          <w:p w:rsidR="00000000" w:rsidRPr="007B4BD2" w:rsidP="007B4BD2">
            <w:pPr>
              <w:pStyle w:val="BodyText"/>
            </w:pPr>
            <w:r w:rsidRPr="007B4BD2">
              <w:t>2.3 Clean foreign material from blade surfaces</w:t>
            </w:r>
          </w:p>
          <w:p w:rsidR="00000000" w:rsidRPr="007B4BD2" w:rsidP="007B4BD2">
            <w:pPr>
              <w:pStyle w:val="BodyText"/>
            </w:pPr>
            <w:r w:rsidRPr="007B4BD2">
              <w:t>2.4 Inspect saw blade to assess the condition of teeth, tips and saw blade</w:t>
            </w:r>
          </w:p>
          <w:p w:rsidR="00000000" w:rsidRPr="007B4BD2" w:rsidP="007B4BD2">
            <w:pPr>
              <w:pStyle w:val="BodyText"/>
            </w:pPr>
            <w:r w:rsidRPr="007B4BD2">
              <w:t>2.5 Check and mark teeth or tips requiring repair or replaceme</w:t>
            </w:r>
            <w:r w:rsidRPr="007B4BD2">
              <w:t>nt</w:t>
            </w:r>
          </w:p>
          <w:p w:rsidR="00000000" w:rsidRPr="007B4BD2" w:rsidP="007B4BD2">
            <w:pPr>
              <w:pStyle w:val="BodyText"/>
            </w:pPr>
            <w:r w:rsidRPr="007B4BD2">
              <w:t>2.6 Declare saw blades unserviceable where hazardous defects are found,</w:t>
            </w:r>
            <w:r w:rsidRPr="007B4BD2">
              <w:rPr>
                <w:rStyle w:val="SpecialBold"/>
              </w:rPr>
              <w:t xml:space="preserve"> </w:t>
            </w:r>
            <w:r w:rsidRPr="007B4BD2">
              <w:t>or blade has become too narrow for use</w:t>
            </w:r>
          </w:p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2.7 Segregate and dispose of unserviceable saw blades according to workplace procedures and environmental protection practices</w:t>
            </w:r>
          </w:p>
        </w:tc>
      </w:tr>
      <w:tr w:rsidTr="001D5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3. Level, tens</w:t>
            </w:r>
            <w:r w:rsidRPr="007B4BD2">
              <w:t>ion and back gauge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>3.1 Use a straight edge to identify lumps and ridges across and along saw blade on both sides of the blade</w:t>
            </w:r>
          </w:p>
          <w:p w:rsidR="00000000" w:rsidRPr="007B4BD2" w:rsidP="007B4BD2">
            <w:pPr>
              <w:pStyle w:val="BodyText"/>
            </w:pPr>
            <w:r w:rsidRPr="007B4BD2">
              <w:t>3.2 Remove ridges or lumps progressively by levelling the saw blade with hammers, levelling attachments or stretcher rol</w:t>
            </w:r>
            <w:r w:rsidRPr="007B4BD2">
              <w:t>ls</w:t>
            </w:r>
          </w:p>
          <w:p w:rsidR="00000000" w:rsidRPr="007B4BD2" w:rsidP="007B4BD2">
            <w:pPr>
              <w:pStyle w:val="BodyText"/>
            </w:pPr>
            <w:r w:rsidRPr="007B4BD2">
              <w:t>3.3 Control rolling patterns to induce the correct amount of tension into the saw blade</w:t>
            </w:r>
          </w:p>
          <w:p w:rsidR="00000000" w:rsidRPr="007B4BD2" w:rsidP="007B4BD2">
            <w:pPr>
              <w:pStyle w:val="BodyText"/>
            </w:pPr>
            <w:r w:rsidRPr="007B4BD2">
              <w:t>3.4 Use a tension gauge of appropriate curvature to verify the saw blade has sufficient tension, and tension is correctly positioned across the blade and is evenly d</w:t>
            </w:r>
            <w:r w:rsidRPr="007B4BD2">
              <w:t>istributed along the length of the blade</w:t>
            </w:r>
          </w:p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3.5 Use an accurate back-gauge to check back length, and roll nonconforming areas to adjust back length to workplace tolerance</w:t>
            </w:r>
          </w:p>
        </w:tc>
      </w:tr>
      <w:tr w:rsidTr="001D5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4. Repair teeth and blade cracks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>4.1 Place saw blade in welding jig for heat applicatio</w:t>
            </w:r>
            <w:r w:rsidRPr="007B4BD2">
              <w:t>n and welding activities</w:t>
            </w:r>
          </w:p>
          <w:p w:rsidR="00000000" w:rsidRPr="007B4BD2" w:rsidP="007B4BD2">
            <w:pPr>
              <w:pStyle w:val="BodyText"/>
            </w:pPr>
            <w:r w:rsidRPr="007B4BD2">
              <w:t>4.2 Check amount of damaged tooth to be removed or crack to be repaired and mark weld line</w:t>
            </w:r>
          </w:p>
          <w:p w:rsidR="00000000" w:rsidRPr="007B4BD2" w:rsidP="007B4BD2">
            <w:pPr>
              <w:pStyle w:val="BodyText"/>
            </w:pPr>
            <w:r w:rsidRPr="007B4BD2">
              <w:t>4.3 Remove metal to proposed line, prepare the edge for welding and clean burn marks</w:t>
            </w:r>
          </w:p>
          <w:p w:rsidR="00000000" w:rsidRPr="007B4BD2" w:rsidP="007B4BD2">
            <w:pPr>
              <w:pStyle w:val="BodyText"/>
            </w:pPr>
            <w:r w:rsidRPr="007B4BD2">
              <w:t>4.4 Apply heat and pressure to prepare worn, broken or ground surface for metal build-up or replacement</w:t>
            </w:r>
          </w:p>
          <w:p w:rsidR="00000000" w:rsidRPr="007B4BD2" w:rsidP="007B4BD2">
            <w:pPr>
              <w:pStyle w:val="BodyText"/>
            </w:pPr>
            <w:r w:rsidRPr="007B4BD2">
              <w:t>4.5 Build up or replace teeth or cracked area using material and processes that ensure specified metal penetration and density</w:t>
            </w:r>
          </w:p>
          <w:p w:rsidR="00000000" w:rsidRPr="007B4BD2" w:rsidP="007B4BD2">
            <w:pPr>
              <w:pStyle w:val="BodyText"/>
            </w:pPr>
            <w:r w:rsidRPr="007B4BD2">
              <w:t>4.6 Use weld run-off tabs</w:t>
            </w:r>
            <w:r w:rsidRPr="007B4BD2">
              <w:t xml:space="preserve"> to limit stress and hollows at edges of the saw blade</w:t>
            </w:r>
          </w:p>
          <w:p w:rsidR="00000000" w:rsidRPr="007B4BD2" w:rsidP="007B4BD2">
            <w:pPr>
              <w:pStyle w:val="BodyText"/>
            </w:pPr>
            <w:r w:rsidRPr="007B4BD2">
              <w:t>4.7 Grind or file teeth or cracks to required shape, tolerance and pitch</w:t>
            </w:r>
          </w:p>
          <w:p w:rsidR="00000000" w:rsidRPr="007B4BD2" w:rsidP="007B4BD2">
            <w:pPr>
              <w:pStyle w:val="BodyText"/>
            </w:pPr>
            <w:r w:rsidRPr="007B4BD2">
              <w:t>4.8 Dispose of saws with irreparable teeth, tips or blades according to workplace procedures and environmental protection practi</w:t>
            </w:r>
            <w:r w:rsidRPr="007B4BD2">
              <w:t>ces</w:t>
            </w:r>
          </w:p>
          <w:p w:rsidR="00000000" w:rsidRPr="007B4BD2" w:rsidP="007B4BD2">
            <w:pPr>
              <w:pStyle w:val="BodyText"/>
            </w:pPr>
            <w:r w:rsidRPr="007B4BD2">
              <w:t>4.9 Identify routine processing and equipment faults, and resolve or report to appropriate personnel</w:t>
            </w:r>
          </w:p>
        </w:tc>
      </w:tr>
    </w:tbl>
    <w:p w:rsidR="00000000" w:rsidRPr="007B4BD2" w:rsidP="007B4BD2">
      <w:pPr>
        <w:pStyle w:val="BodyText"/>
      </w:pPr>
    </w:p>
    <w:p w:rsidR="00000000" w:rsidRPr="007B4BD2" w:rsidP="007B4BD2">
      <w:pPr>
        <w:pStyle w:val="AllowPageBreak"/>
      </w:pPr>
    </w:p>
    <w:p w:rsidR="00000000" w:rsidRPr="007B4BD2" w:rsidP="007B4BD2">
      <w:pPr>
        <w:pStyle w:val="Heading1"/>
      </w:pPr>
      <w:bookmarkStart w:id="6" w:name="O_1047150"/>
      <w:bookmarkEnd w:id="6"/>
      <w:r w:rsidRPr="007B4BD2">
        <w:t>Foundation Skills</w:t>
      </w:r>
    </w:p>
    <w:p w:rsidR="00000000" w:rsidRPr="001D5454" w:rsidP="001D5454">
      <w:pPr>
        <w:pStyle w:val="BodyText"/>
        <w:rPr>
          <w:i/>
        </w:rPr>
      </w:pPr>
      <w:r w:rsidRPr="001D5454">
        <w:rPr>
          <w:rStyle w:val="Emphasis"/>
        </w:rPr>
        <w:t>This section describes those language, literacy, numeracy and employment skills that are essential for performan</w:t>
      </w:r>
      <w:r w:rsidRPr="001D5454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Description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ListBullet"/>
              <w:rPr>
                <w:lang w:val="en-NZ"/>
              </w:rPr>
            </w:pPr>
            <w:r w:rsidRPr="007B4BD2">
              <w:t xml:space="preserve">Extracts essential information from operational manuals to determine safe operating procedures for equipment 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ListBullet"/>
              <w:rPr>
                <w:lang w:val="en-NZ"/>
              </w:rPr>
            </w:pPr>
            <w:r w:rsidRPr="007B4BD2">
              <w:t>Prepares routine written reports using the required format, language and structure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ListBullet"/>
              <w:rPr>
                <w:lang w:val="en-NZ"/>
              </w:rPr>
            </w:pPr>
            <w:r w:rsidRPr="007B4BD2">
              <w:t>Employs active listening and questioning to clarify content of work orders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ListBullet"/>
              <w:rPr>
                <w:lang w:val="en-NZ"/>
              </w:rPr>
            </w:pPr>
            <w:r w:rsidRPr="007B4BD2">
              <w:t>Uses a gauge to measure results of hammering and/or rolling the bl</w:t>
            </w:r>
            <w:r w:rsidRPr="007B4BD2">
              <w:t xml:space="preserve">ade 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ListBullet"/>
              <w:rPr>
                <w:lang w:val="en-NZ"/>
              </w:rPr>
            </w:pPr>
            <w:r w:rsidRPr="007B4BD2">
              <w:t>Understands main tasks, responsibilities and boundaries of own role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ListBullet"/>
              <w:rPr>
                <w:lang w:val="en-NZ"/>
              </w:rPr>
            </w:pPr>
            <w:r w:rsidRPr="007B4BD2">
              <w:t>Uses modes of communication suitable to purpose to confirm and clarify understanding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ListBullet"/>
            </w:pPr>
            <w:r w:rsidRPr="007B4BD2">
              <w:t>Recognises and responds to routine problems</w:t>
            </w:r>
          </w:p>
        </w:tc>
      </w:tr>
    </w:tbl>
    <w:p w:rsidR="00000000" w:rsidRPr="007B4BD2" w:rsidP="007B4BD2">
      <w:pPr>
        <w:pStyle w:val="BodyText"/>
      </w:pPr>
    </w:p>
    <w:p w:rsidR="00000000" w:rsidRPr="007B4BD2" w:rsidP="007B4BD2">
      <w:pPr>
        <w:pStyle w:val="AllowPageBreak"/>
      </w:pPr>
    </w:p>
    <w:p w:rsidR="00000000" w:rsidRPr="007B4BD2" w:rsidP="007B4BD2">
      <w:pPr>
        <w:pStyle w:val="Heading1"/>
      </w:pPr>
      <w:bookmarkStart w:id="7" w:name="O_1047152"/>
      <w:bookmarkEnd w:id="7"/>
      <w:r w:rsidRPr="007B4B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Bold"/>
              <w:rPr>
                <w:lang w:val="en-NZ"/>
              </w:rPr>
            </w:pPr>
            <w:r w:rsidRPr="007B4BD2">
              <w:t>Equivalence status</w:t>
            </w:r>
          </w:p>
        </w:tc>
      </w:tr>
      <w:tr w:rsidTr="007B4B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>FWPSAW3239 Assess and maintain wide band saw blades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 xml:space="preserve">FWPSAW3220 Maintain wide band saw blades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BD2">
            <w:pPr>
              <w:pStyle w:val="BodyText"/>
              <w:rPr>
                <w:lang w:val="en-NZ"/>
              </w:rPr>
            </w:pPr>
            <w:r w:rsidRPr="007B4BD2">
              <w:t>Reworded application statement for clarity; revised performance criteria of element 3; updated performance evidence for mapping; updated knowledge evidence and assessment conditions for clarity and mapping; update</w:t>
            </w:r>
            <w:r w:rsidRPr="007B4BD2">
              <w:t>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BD2" w:rsidP="007B4BD2">
            <w:pPr>
              <w:pStyle w:val="BodyText"/>
            </w:pPr>
            <w:r w:rsidRPr="007B4BD2">
              <w:t>Equivalent unit</w:t>
            </w:r>
          </w:p>
        </w:tc>
      </w:tr>
    </w:tbl>
    <w:p w:rsidR="00000000" w:rsidRPr="007B4BD2" w:rsidP="007B4BD2">
      <w:pPr>
        <w:pStyle w:val="BodyText"/>
      </w:pPr>
    </w:p>
    <w:p w:rsidR="00000000" w:rsidRPr="007B4BD2" w:rsidP="007B4BD2">
      <w:pPr>
        <w:pStyle w:val="AllowPageBreak"/>
      </w:pPr>
    </w:p>
    <w:p w:rsidR="00000000" w:rsidRPr="007B4BD2" w:rsidP="007B4BD2">
      <w:pPr>
        <w:pStyle w:val="Heading1"/>
      </w:pPr>
      <w:bookmarkStart w:id="8" w:name="O_1047159"/>
      <w:bookmarkEnd w:id="8"/>
      <w:r w:rsidRPr="007B4BD2">
        <w:t>Links</w:t>
      </w:r>
    </w:p>
    <w:p w:rsidR="00000000" w:rsidRPr="007B4BD2" w:rsidP="001D5454">
      <w:pPr>
        <w:pStyle w:val="BodyText"/>
      </w:pPr>
      <w:r w:rsidRPr="007B4B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461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4BD2" w:rsidP="007B4BD2"/>
    <w:sectPr w:rsidSect="007B4B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D2" w:rsidRPr="001D5454" w:rsidP="001D5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54" w:rsidP="007B4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454" w:rsidP="007B4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5454" w:rsidP="007B4B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BD2" w:rsidRPr="001D5454" w:rsidP="001D5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454" w:rsidRPr="002D2AF8" w:rsidP="007B4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FWPSAW3239 Assess and maintain wide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D5454" w:rsidP="007B4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4A1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A9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BD2"/>
  </w:style>
  <w:style w:type="character" w:customStyle="1" w:styleId="Heading1Char">
    <w:name w:val="Heading 1 Char"/>
    <w:basedOn w:val="DefaultParagraphFont"/>
    <w:link w:val="Heading1"/>
    <w:rsid w:val="007B4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B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B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BD2"/>
    <w:rPr>
      <w:b/>
      <w:spacing w:val="0"/>
    </w:rPr>
  </w:style>
  <w:style w:type="character" w:styleId="Emphasis">
    <w:name w:val="Emphasis"/>
    <w:basedOn w:val="DefaultParagraphFont"/>
    <w:qFormat/>
    <w:rsid w:val="007B4BD2"/>
    <w:rPr>
      <w:i/>
    </w:rPr>
  </w:style>
  <w:style w:type="paragraph" w:customStyle="1" w:styleId="SuperHeading">
    <w:name w:val="SuperHeading"/>
    <w:basedOn w:val="Normal"/>
    <w:rsid w:val="007B4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4BD2"/>
    <w:rPr>
      <w:b/>
    </w:rPr>
  </w:style>
  <w:style w:type="character" w:customStyle="1" w:styleId="Heading2Char">
    <w:name w:val="Heading 2 Char"/>
    <w:basedOn w:val="DefaultParagraphFont"/>
    <w:link w:val="Heading2"/>
    <w:rsid w:val="007B4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B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B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B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B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BD2"/>
  </w:style>
  <w:style w:type="paragraph" w:styleId="TableofFigures">
    <w:name w:val="table of figures"/>
    <w:basedOn w:val="Normal"/>
    <w:next w:val="Normal"/>
    <w:semiHidden/>
    <w:rsid w:val="007B4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B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BD2"/>
    <w:rPr>
      <w:rFonts w:ascii="Wingdings" w:hAnsi="Wingdings"/>
    </w:rPr>
  </w:style>
  <w:style w:type="paragraph" w:customStyle="1" w:styleId="TableHeading">
    <w:name w:val="Table Heading"/>
    <w:basedOn w:val="HeadingBase"/>
    <w:rsid w:val="007B4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BD2"/>
    <w:rPr>
      <w:color w:val="0033CC"/>
      <w:u w:val="none"/>
    </w:rPr>
  </w:style>
  <w:style w:type="paragraph" w:customStyle="1" w:styleId="BodyTextRight">
    <w:name w:val="Body Text Right"/>
    <w:basedOn w:val="BodyText"/>
    <w:rsid w:val="007B4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B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BD2"/>
    <w:rPr>
      <w:sz w:val="32"/>
    </w:rPr>
  </w:style>
  <w:style w:type="paragraph" w:customStyle="1" w:styleId="HeadingProcedure">
    <w:name w:val="Heading Procedure"/>
    <w:basedOn w:val="HeadingBase"/>
    <w:next w:val="Normal"/>
    <w:rsid w:val="007B4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BD2"/>
    <w:pPr>
      <w:spacing w:before="60" w:after="60"/>
    </w:pPr>
  </w:style>
  <w:style w:type="paragraph" w:styleId="ListContinue">
    <w:name w:val="List Continue"/>
    <w:basedOn w:val="List"/>
    <w:rsid w:val="007B4BD2"/>
    <w:pPr>
      <w:ind w:firstLine="0"/>
    </w:pPr>
  </w:style>
  <w:style w:type="paragraph" w:customStyle="1" w:styleId="ListNote">
    <w:name w:val="List Note"/>
    <w:basedOn w:val="List"/>
    <w:rsid w:val="007B4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BD2"/>
    <w:rPr>
      <w:rFonts w:ascii="Courier New" w:hAnsi="Courier New"/>
    </w:rPr>
  </w:style>
  <w:style w:type="paragraph" w:customStyle="1" w:styleId="NoteBullet">
    <w:name w:val="Note Bullet"/>
    <w:basedOn w:val="Note"/>
    <w:rsid w:val="007B4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B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BD2"/>
    <w:rPr>
      <w:b/>
      <w:smallCaps/>
    </w:rPr>
  </w:style>
  <w:style w:type="paragraph" w:customStyle="1" w:styleId="TableListNumber">
    <w:name w:val="Table List Number"/>
    <w:basedOn w:val="ListNumber"/>
    <w:rsid w:val="007B4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BD2"/>
    <w:pPr>
      <w:numPr>
        <w:numId w:val="8"/>
      </w:numPr>
    </w:pPr>
  </w:style>
  <w:style w:type="paragraph" w:customStyle="1" w:styleId="ListAlpha2">
    <w:name w:val="List Alpha 2"/>
    <w:basedOn w:val="List2"/>
    <w:rsid w:val="007B4BD2"/>
    <w:pPr>
      <w:numPr>
        <w:numId w:val="7"/>
      </w:numPr>
    </w:pPr>
  </w:style>
  <w:style w:type="paragraph" w:styleId="List2">
    <w:name w:val="List 2"/>
    <w:basedOn w:val="BodyText"/>
    <w:rsid w:val="007B4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B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B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B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BD2"/>
    <w:pPr>
      <w:numPr>
        <w:numId w:val="3"/>
      </w:numPr>
    </w:pPr>
  </w:style>
  <w:style w:type="paragraph" w:styleId="ListContinue2">
    <w:name w:val="List Continue 2"/>
    <w:basedOn w:val="List2"/>
    <w:rsid w:val="007B4BD2"/>
    <w:pPr>
      <w:ind w:firstLine="0"/>
    </w:pPr>
  </w:style>
  <w:style w:type="paragraph" w:styleId="ListContinue3">
    <w:name w:val="List Continue 3"/>
    <w:basedOn w:val="List3"/>
    <w:rsid w:val="007B4BD2"/>
    <w:pPr>
      <w:ind w:left="1021" w:firstLine="0"/>
    </w:pPr>
  </w:style>
  <w:style w:type="paragraph" w:styleId="ListContinue4">
    <w:name w:val="List Continue 4"/>
    <w:basedOn w:val="List4"/>
    <w:rsid w:val="007B4BD2"/>
    <w:pPr>
      <w:ind w:firstLine="0"/>
    </w:pPr>
  </w:style>
  <w:style w:type="paragraph" w:styleId="ListContinue5">
    <w:name w:val="List Continue 5"/>
    <w:basedOn w:val="List5"/>
    <w:rsid w:val="007B4BD2"/>
    <w:pPr>
      <w:ind w:firstLine="0"/>
    </w:pPr>
  </w:style>
  <w:style w:type="paragraph" w:styleId="ListNumber3">
    <w:name w:val="List Number 3"/>
    <w:basedOn w:val="List3"/>
    <w:rsid w:val="007B4BD2"/>
    <w:pPr>
      <w:numPr>
        <w:numId w:val="4"/>
      </w:numPr>
    </w:pPr>
  </w:style>
  <w:style w:type="paragraph" w:styleId="ListNumber4">
    <w:name w:val="List Number 4"/>
    <w:basedOn w:val="List4"/>
    <w:rsid w:val="007B4BD2"/>
    <w:pPr>
      <w:numPr>
        <w:numId w:val="5"/>
      </w:numPr>
    </w:pPr>
  </w:style>
  <w:style w:type="paragraph" w:styleId="ListNumber5">
    <w:name w:val="List Number 5"/>
    <w:basedOn w:val="List5"/>
    <w:rsid w:val="007B4BD2"/>
    <w:pPr>
      <w:numPr>
        <w:numId w:val="6"/>
      </w:numPr>
    </w:pPr>
  </w:style>
  <w:style w:type="paragraph" w:styleId="BlockText">
    <w:name w:val="Block Text"/>
    <w:basedOn w:val="Normal"/>
    <w:rsid w:val="007B4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BD2"/>
    <w:rPr>
      <w:sz w:val="16"/>
      <w:vertAlign w:val="superscript"/>
    </w:rPr>
  </w:style>
  <w:style w:type="character" w:customStyle="1" w:styleId="Symbols">
    <w:name w:val="Symbols"/>
    <w:basedOn w:val="DefaultParagraphFont"/>
    <w:rsid w:val="007B4BD2"/>
    <w:rPr>
      <w:rFonts w:ascii="Symbol" w:hAnsi="Symbol"/>
    </w:rPr>
  </w:style>
  <w:style w:type="character" w:customStyle="1" w:styleId="MenuOptions">
    <w:name w:val="Menu Options"/>
    <w:basedOn w:val="DefaultParagraphFont"/>
    <w:rsid w:val="007B4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BD2"/>
    <w:rPr>
      <w:b/>
    </w:rPr>
  </w:style>
  <w:style w:type="character" w:customStyle="1" w:styleId="Underlined">
    <w:name w:val="Underlined"/>
    <w:basedOn w:val="DefaultParagraphFont"/>
    <w:rsid w:val="007B4BD2"/>
    <w:rPr>
      <w:u w:val="single"/>
    </w:rPr>
  </w:style>
  <w:style w:type="paragraph" w:customStyle="1" w:styleId="TableBodyTextRight">
    <w:name w:val="Table Body Text Right"/>
    <w:basedOn w:val="TableBodyText"/>
    <w:rsid w:val="007B4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BD2"/>
    <w:rPr>
      <w:sz w:val="18"/>
    </w:rPr>
  </w:style>
  <w:style w:type="paragraph" w:customStyle="1" w:styleId="BodySmallRight">
    <w:name w:val="Body Small Right"/>
    <w:basedOn w:val="BodyTextRight"/>
    <w:rsid w:val="007B4BD2"/>
    <w:rPr>
      <w:sz w:val="18"/>
      <w:szCs w:val="18"/>
    </w:rPr>
  </w:style>
  <w:style w:type="paragraph" w:customStyle="1" w:styleId="MarginEdition">
    <w:name w:val="Margin Edition"/>
    <w:basedOn w:val="MarginNote"/>
    <w:rsid w:val="007B4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BD2"/>
    <w:rPr>
      <w:sz w:val="2"/>
      <w:szCs w:val="2"/>
    </w:rPr>
  </w:style>
  <w:style w:type="character" w:customStyle="1" w:styleId="Small">
    <w:name w:val="Small"/>
    <w:basedOn w:val="DefaultParagraphFont"/>
    <w:rsid w:val="007B4BD2"/>
    <w:rPr>
      <w:sz w:val="16"/>
    </w:rPr>
  </w:style>
  <w:style w:type="paragraph" w:customStyle="1" w:styleId="WideTable">
    <w:name w:val="Wide Table"/>
    <w:basedOn w:val="Normal"/>
    <w:rsid w:val="007B4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BD2"/>
  </w:style>
  <w:style w:type="paragraph" w:styleId="Quote">
    <w:name w:val="Quote"/>
    <w:basedOn w:val="Heading1"/>
    <w:link w:val="QuoteChar"/>
    <w:qFormat/>
    <w:rsid w:val="007B4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BD2"/>
    <w:pPr>
      <w:pageBreakBefore/>
    </w:pPr>
  </w:style>
  <w:style w:type="paragraph" w:customStyle="1" w:styleId="Border">
    <w:name w:val="Border"/>
    <w:basedOn w:val="Normal"/>
    <w:qFormat/>
    <w:rsid w:val="007B4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BD2"/>
    <w:rPr>
      <w:u w:val="single"/>
    </w:rPr>
  </w:style>
  <w:style w:type="character" w:customStyle="1" w:styleId="BoldandItalics">
    <w:name w:val="Bold and Italics"/>
    <w:qFormat/>
    <w:rsid w:val="007B4BD2"/>
    <w:rPr>
      <w:b/>
      <w:i/>
      <w:u w:val="none"/>
    </w:rPr>
  </w:style>
  <w:style w:type="paragraph" w:styleId="BalloonText">
    <w:name w:val="Balloon Text"/>
    <w:basedOn w:val="Normal"/>
    <w:link w:val="BalloonTextChar"/>
    <w:rsid w:val="007B4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B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5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4921</Characters>
  <Application>Microsoft Office Word</Application>
  <DocSecurity>0</DocSecurity>
  <Lines>169</Lines>
  <Paragraphs>99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FWPSAW3239 Assess and maintain wide band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2024-09-27T00:23:00Z</dcterms:created>
  <dcterms:modified xsi:type="dcterms:W3CDTF">2024-09-27T00:23:00Z</dcterms:modified>
</cp:coreProperties>
</file>