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A7C" w:rsidP="00941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FWPSAW2209 Dismantle, transport and assemble hand portable sawmill</w:t>
      </w:r>
      <w:r>
        <w:fldChar w:fldCharType="end"/>
      </w:r>
    </w:p>
    <w:p w:rsidR="00941A7C" w:rsidP="00941A7C">
      <w:pPr>
        <w:pStyle w:val="Version"/>
        <w:sectPr w:rsidSect="001E0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C34" w:rsidP="001E0C34">
      <w:pPr>
        <w:pStyle w:val="SuperHeading"/>
      </w:pPr>
      <w:r w:rsidRPr="001E0C34">
        <w:t>FWPSAW2209 Dismantle, transport and assemble hand portable sawmill</w:t>
      </w:r>
    </w:p>
    <w:p w:rsidR="00000000" w:rsidRPr="001E0C34" w:rsidP="001E0C34">
      <w:pPr>
        <w:pStyle w:val="Heading1"/>
      </w:pPr>
      <w:bookmarkStart w:id="1" w:name="O_915676"/>
      <w:bookmarkEnd w:id="1"/>
      <w:r w:rsidRPr="001E0C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rPr>
                <w:rStyle w:val="SpecialBold"/>
              </w:rPr>
              <w:t>Comment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t xml:space="preserve">Replaces equivalent unit FPISAW2209 Dismantle, transport and assemble hand portable sawmill, which was first released with FPI11 Forest and Forest Products Training Package Version 2.2. </w:t>
            </w:r>
          </w:p>
          <w:p w:rsidR="00000000" w:rsidRPr="001E0C34" w:rsidP="001E0C34">
            <w:pPr>
              <w:pStyle w:val="BodyText"/>
            </w:pPr>
            <w:r w:rsidRPr="001E0C34">
              <w:t>This is the first release of this unit in the new standards format.</w:t>
            </w:r>
          </w:p>
        </w:tc>
      </w:tr>
    </w:tbl>
    <w:p w:rsidR="00000000" w:rsidRPr="001E0C34" w:rsidP="001E0C34">
      <w:pPr>
        <w:pStyle w:val="BodyText"/>
      </w:pPr>
    </w:p>
    <w:p w:rsidR="00000000" w:rsidRPr="001E0C34" w:rsidP="001E0C34">
      <w:pPr>
        <w:pStyle w:val="AllowPageBreak"/>
      </w:pPr>
    </w:p>
    <w:p w:rsidR="00000000" w:rsidRPr="001E0C34" w:rsidP="001E0C34">
      <w:pPr>
        <w:pStyle w:val="Heading1"/>
      </w:pPr>
      <w:bookmarkStart w:id="2" w:name="O_915677"/>
      <w:bookmarkEnd w:id="2"/>
      <w:r w:rsidRPr="001E0C34">
        <w:t>Application</w:t>
      </w:r>
    </w:p>
    <w:p w:rsidR="00000000" w:rsidRPr="001E0C34" w:rsidP="00941A7C">
      <w:pPr>
        <w:pStyle w:val="BodyText"/>
      </w:pPr>
      <w:r w:rsidRPr="001E0C34">
        <w:t>This unit of competency describes the outcomes required to dismantle, transport and assemble a hand portable sawmill for the purposes of milling green boards at an on-site location. Work is completed in a forest products facto</w:t>
      </w:r>
      <w:r w:rsidRPr="001E0C34">
        <w:t>ry setting and off-site.</w:t>
      </w:r>
    </w:p>
    <w:p w:rsidR="00000000" w:rsidRPr="001E0C34" w:rsidP="00941A7C">
      <w:pPr>
        <w:pStyle w:val="BodyText"/>
      </w:pPr>
      <w:r w:rsidRPr="001E0C34">
        <w:t xml:space="preserve">The unit applies to Production Worker, Saw Operator. </w:t>
      </w:r>
    </w:p>
    <w:p w:rsidR="00000000" w:rsidRPr="001E0C34" w:rsidP="00941A7C">
      <w:pPr>
        <w:pStyle w:val="BodyText"/>
      </w:pPr>
      <w:r w:rsidRPr="001E0C34">
        <w:t>No licensing, legislative, regulatory, or certification requirements apply to this unit at the time of publication.</w:t>
      </w:r>
    </w:p>
    <w:p w:rsidR="00000000" w:rsidRPr="001E0C34" w:rsidP="001E0C34">
      <w:pPr>
        <w:pStyle w:val="Heading1"/>
      </w:pPr>
      <w:bookmarkStart w:id="3" w:name="O_915678"/>
      <w:bookmarkEnd w:id="3"/>
      <w:r w:rsidRPr="001E0C34">
        <w:t>Pre-requisite Unit</w:t>
      </w:r>
    </w:p>
    <w:p w:rsidR="00000000" w:rsidRPr="001E0C34" w:rsidP="00941A7C">
      <w:pPr>
        <w:pStyle w:val="BodyText"/>
      </w:pPr>
      <w:r w:rsidRPr="001E0C34">
        <w:t>Nil</w:t>
      </w:r>
    </w:p>
    <w:p w:rsidR="00000000" w:rsidRPr="001E0C34" w:rsidP="001E0C34">
      <w:pPr>
        <w:pStyle w:val="Heading1"/>
      </w:pPr>
      <w:bookmarkStart w:id="4" w:name="O_915680"/>
      <w:bookmarkEnd w:id="4"/>
      <w:r w:rsidRPr="001E0C34">
        <w:t>Unit</w:t>
      </w:r>
      <w:r w:rsidRPr="001E0C34">
        <w:t xml:space="preserve"> Sector</w:t>
      </w:r>
    </w:p>
    <w:p w:rsidR="00000000" w:rsidRPr="001E0C34" w:rsidP="00941A7C">
      <w:pPr>
        <w:pStyle w:val="BodyText"/>
      </w:pPr>
      <w:r w:rsidRPr="001E0C34">
        <w:t>Sawmilling and Processing</w:t>
      </w:r>
    </w:p>
    <w:p w:rsidR="00000000" w:rsidRPr="001E0C34" w:rsidP="001E0C34">
      <w:pPr>
        <w:pStyle w:val="Heading1"/>
      </w:pPr>
      <w:bookmarkStart w:id="5" w:name="O_915681"/>
      <w:bookmarkEnd w:id="5"/>
      <w:r w:rsidRPr="001E0C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t xml:space="preserve">1.1 Review and check work order where </w:t>
            </w:r>
            <w:r w:rsidRPr="001E0C34">
              <w:t>required with appropriate personnel.</w:t>
            </w:r>
          </w:p>
          <w:p w:rsidR="00000000" w:rsidRPr="001E0C34" w:rsidP="001E0C34">
            <w:pPr>
              <w:pStyle w:val="BodyText"/>
            </w:pPr>
            <w:r w:rsidRPr="001E0C34">
              <w:t>1.2 Identify type and quantity of logs for sawing and check location.</w:t>
            </w:r>
          </w:p>
          <w:p w:rsidR="00000000" w:rsidRPr="001E0C34" w:rsidP="001E0C34">
            <w:pPr>
              <w:pStyle w:val="BodyText"/>
            </w:pPr>
            <w:r w:rsidRPr="001E0C34">
              <w:t xml:space="preserve">1.3 Select appropriate repair, maintenance and personal protective equipment and check operational effectiveness in line with manufacturer’s </w:t>
            </w:r>
            <w:r w:rsidRPr="001E0C34">
              <w:t>recommen</w:t>
            </w:r>
            <w:r w:rsidRPr="001E0C34">
              <w:t>dations.</w:t>
            </w:r>
          </w:p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1.4 Plan dismantling, transport and set-up processes to optimise recovery time.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2. Dismantle, transport and assemble hand portable sawmill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t>2.1 Follow organisational safety procedures thoughout all processes.</w:t>
            </w:r>
          </w:p>
          <w:p w:rsidR="00000000" w:rsidRPr="001E0C34" w:rsidP="001E0C34">
            <w:pPr>
              <w:pStyle w:val="BodyText"/>
            </w:pPr>
            <w:r w:rsidRPr="001E0C34">
              <w:t>2.2 Follow sequence of activities to d</w:t>
            </w:r>
            <w:r w:rsidRPr="001E0C34">
              <w:t>ismantle sawmill in line with manufacturer</w:t>
            </w:r>
            <w:r>
              <w:t>’</w:t>
            </w:r>
            <w:r w:rsidRPr="001E0C34">
              <w:t>s instructions.</w:t>
            </w:r>
          </w:p>
          <w:p w:rsidR="00000000" w:rsidRPr="001E0C34" w:rsidP="001E0C34">
            <w:pPr>
              <w:pStyle w:val="BodyText"/>
            </w:pPr>
            <w:r w:rsidRPr="001E0C34">
              <w:t>2.3 Load and secure dismantled sawmill equipment for transportation, and move to new location.</w:t>
            </w:r>
          </w:p>
          <w:p w:rsidR="00000000" w:rsidRPr="001E0C34" w:rsidP="001E0C34">
            <w:pPr>
              <w:pStyle w:val="BodyText"/>
            </w:pPr>
            <w:r w:rsidRPr="001E0C34">
              <w:t>2.4 Inspect proposed new work site for potential hazards and work flow interferences.</w:t>
            </w:r>
          </w:p>
          <w:p w:rsidR="00000000" w:rsidRPr="001E0C34" w:rsidP="001E0C34">
            <w:pPr>
              <w:pStyle w:val="BodyText"/>
            </w:pPr>
            <w:r w:rsidRPr="001E0C34">
              <w:t>2.5 Identify saf</w:t>
            </w:r>
            <w:r w:rsidRPr="001E0C34">
              <w:t>e site for logs, stacking of sawn boards and waste.</w:t>
            </w:r>
          </w:p>
          <w:p w:rsidR="00000000" w:rsidRPr="001E0C34" w:rsidP="001E0C34">
            <w:pPr>
              <w:pStyle w:val="BodyText"/>
            </w:pPr>
            <w:r w:rsidRPr="001E0C34">
              <w:t>2.6 Follow sequence of activities to assemble hand portable sawmill in line with manufacturer</w:t>
            </w:r>
            <w:r>
              <w:t>’</w:t>
            </w:r>
            <w:r w:rsidRPr="001E0C34">
              <w:t>s instructions.</w:t>
            </w:r>
          </w:p>
          <w:p w:rsidR="00000000" w:rsidRPr="001E0C34" w:rsidP="001E0C34">
            <w:pPr>
              <w:pStyle w:val="BodyText"/>
            </w:pPr>
            <w:r w:rsidRPr="001E0C34">
              <w:t>2.7 Complete pre start-up checks on equipment to ensure operational effectiveness.</w:t>
            </w:r>
          </w:p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2.8 Identify routine processing and equipment faults and resolve or report to appropriate personnel.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BodyText"/>
            </w:pPr>
            <w:r w:rsidRPr="001E0C34">
              <w:t>3.1 Follow organisational safety procedures to lock out equipment.</w:t>
            </w:r>
          </w:p>
          <w:p w:rsidR="00000000" w:rsidRPr="001E0C34" w:rsidP="001E0C34">
            <w:pPr>
              <w:pStyle w:val="BodyText"/>
            </w:pPr>
            <w:r w:rsidRPr="001E0C34">
              <w:t>3.2 Check saw blades for bluntness or damage.</w:t>
            </w:r>
          </w:p>
          <w:p w:rsidR="00000000" w:rsidRPr="001E0C34" w:rsidP="001E0C34">
            <w:pPr>
              <w:pStyle w:val="BodyText"/>
            </w:pPr>
            <w:r w:rsidRPr="001E0C34">
              <w:t>3.3 Remo</w:t>
            </w:r>
            <w:r w:rsidRPr="001E0C34">
              <w:t>ve and replace saw blades in line with manufacturer</w:t>
            </w:r>
            <w:r>
              <w:t>’</w:t>
            </w:r>
            <w:r w:rsidRPr="001E0C34">
              <w:t>s recommendations.</w:t>
            </w:r>
          </w:p>
          <w:p w:rsidR="00000000" w:rsidRPr="001E0C34" w:rsidP="001E0C34">
            <w:pPr>
              <w:pStyle w:val="BodyText"/>
            </w:pPr>
            <w:r w:rsidRPr="001E0C34">
              <w:t>3.4 Dispose of used blades in line with organisational procedures and environmental protection practices.</w:t>
            </w:r>
          </w:p>
          <w:p w:rsidR="00000000" w:rsidRPr="001E0C34" w:rsidP="001E0C34">
            <w:pPr>
              <w:pStyle w:val="BodyText"/>
            </w:pPr>
            <w:r w:rsidRPr="001E0C34">
              <w:t>3.5 Complete basic non-specialist maintenance for equipment.</w:t>
            </w:r>
          </w:p>
          <w:p w:rsidR="00000000" w:rsidRPr="001E0C34" w:rsidP="001E0C34">
            <w:pPr>
              <w:pStyle w:val="BodyText"/>
            </w:pPr>
            <w:r w:rsidRPr="001E0C34">
              <w:t>3.6 Record and rep</w:t>
            </w:r>
            <w:r w:rsidRPr="001E0C34">
              <w:t>ort equipment faults and maintenance requirements to appropriate personnel.</w:t>
            </w:r>
          </w:p>
        </w:tc>
      </w:tr>
    </w:tbl>
    <w:p w:rsidR="00941A7C" w:rsidP="001E0C34">
      <w:pPr>
        <w:pStyle w:val="BodyText"/>
      </w:pPr>
    </w:p>
    <w:p w:rsidR="00941A7C" w:rsidP="001E0C34">
      <w:pPr>
        <w:pStyle w:val="BodyText"/>
      </w:pPr>
    </w:p>
    <w:p w:rsidR="00000000" w:rsidRPr="001E0C34" w:rsidP="001E0C34">
      <w:pPr>
        <w:pStyle w:val="Heading1"/>
      </w:pPr>
      <w:bookmarkStart w:id="6" w:name="O_915682"/>
      <w:bookmarkEnd w:id="6"/>
      <w:r w:rsidRPr="001E0C3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This section describes those core and employment skills that are essential to performance and are not explicit in the performance criteria.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 xml:space="preserve">calculate time required to complete dismantling, transport and set-up processes. 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>ask open and closed probe questions and actively listen to clarify contents of work orders.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ListBullet"/>
            </w:pPr>
            <w:r w:rsidRPr="001E0C34">
              <w:t>interpre</w:t>
            </w:r>
            <w:r w:rsidRPr="001E0C34">
              <w:t>t:</w:t>
            </w:r>
          </w:p>
          <w:p w:rsidR="00000000" w:rsidRPr="001E0C34" w:rsidP="001E0C34">
            <w:pPr>
              <w:pStyle w:val="ListBullet"/>
            </w:pPr>
            <w:r w:rsidRPr="001E0C34">
              <w:t>workplace health and safety and other organisational procedures</w:t>
            </w:r>
          </w:p>
          <w:p w:rsidR="00000000" w:rsidRPr="001E0C34" w:rsidP="001E0C34">
            <w:pPr>
              <w:pStyle w:val="ListBullet"/>
            </w:pPr>
            <w:r w:rsidRPr="001E0C34">
              <w:t>work orders</w:t>
            </w:r>
          </w:p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>manufacturers’ instructions and maintenance recommendations.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 xml:space="preserve">complete accurate basic records for processing and equipment faults and maintenance </w:t>
            </w:r>
            <w:r w:rsidRPr="001E0C34">
              <w:t>requirements.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>efficiently and logically sequence the stages of dismantling, transporting and assembling portable sawmills using work order to guide activities.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ListBullet"/>
              <w:rPr>
                <w:lang w:val="en-NZ"/>
              </w:rPr>
            </w:pPr>
            <w:r w:rsidRPr="001E0C34">
              <w:t>recognise faulty equipment and</w:t>
            </w:r>
            <w:r w:rsidRPr="001E0C34">
              <w:t xml:space="preserve"> resolve by reporting or rectifying.</w:t>
            </w:r>
          </w:p>
        </w:tc>
      </w:tr>
      <w:tr w:rsidTr="00941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C34">
            <w:pPr>
              <w:pStyle w:val="BodyText"/>
              <w:rPr>
                <w:lang w:val="en-NZ"/>
              </w:rPr>
            </w:pPr>
            <w:r w:rsidRPr="001E0C3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C34" w:rsidP="001E0C34">
            <w:pPr>
              <w:pStyle w:val="ListBullet"/>
            </w:pPr>
            <w:r w:rsidRPr="001E0C34">
              <w:t>select, use and maintain appropriate tools and personal protective equipment for dismantling, transporting and assembling portable sawmills</w:t>
            </w:r>
          </w:p>
          <w:p w:rsidR="00000000" w:rsidRPr="001E0C34" w:rsidP="001E0C34">
            <w:pPr>
              <w:pStyle w:val="ListBullet"/>
            </w:pPr>
            <w:r w:rsidRPr="001E0C34">
              <w:t>efficiently and safely dismantle, transport and assembl</w:t>
            </w:r>
            <w:r w:rsidRPr="001E0C34">
              <w:t>e hand portable sawmills.</w:t>
            </w:r>
          </w:p>
        </w:tc>
      </w:tr>
    </w:tbl>
    <w:p w:rsidR="00941A7C" w:rsidP="001E0C34">
      <w:pPr>
        <w:pStyle w:val="ListBullet"/>
      </w:pPr>
    </w:p>
    <w:p w:rsidR="00941A7C" w:rsidP="001E0C34">
      <w:pPr>
        <w:pStyle w:val="ListBullet"/>
      </w:pPr>
    </w:p>
    <w:p w:rsidR="00000000" w:rsidRPr="001E0C34" w:rsidP="001E0C34">
      <w:pPr>
        <w:pStyle w:val="Heading1"/>
      </w:pPr>
      <w:bookmarkStart w:id="7" w:name="O_915683"/>
      <w:bookmarkEnd w:id="7"/>
      <w:r w:rsidRPr="001E0C34">
        <w:t>Range of Conditions</w:t>
      </w:r>
    </w:p>
    <w:p w:rsidR="00000000" w:rsidRPr="001E0C34" w:rsidP="00941A7C">
      <w:pPr>
        <w:pStyle w:val="BodyText"/>
      </w:pPr>
      <w:r w:rsidRPr="001E0C34">
        <w:t>Not Applicable</w:t>
      </w:r>
    </w:p>
    <w:p w:rsidR="00000000" w:rsidRPr="001E0C34" w:rsidP="001E0C34">
      <w:pPr>
        <w:pStyle w:val="Heading1"/>
      </w:pPr>
      <w:bookmarkStart w:id="8" w:name="O_915684"/>
      <w:bookmarkEnd w:id="8"/>
      <w:r w:rsidRPr="001E0C34">
        <w:t>Unit Mapping Information</w:t>
      </w:r>
    </w:p>
    <w:p w:rsidR="00000000" w:rsidRPr="001E0C34" w:rsidP="00941A7C">
      <w:pPr>
        <w:pStyle w:val="BodyText"/>
      </w:pPr>
      <w:r w:rsidRPr="001E0C34">
        <w:t xml:space="preserve">FPISAW2209B Dismantle, transport and assemble hand portable sawmill </w:t>
      </w:r>
    </w:p>
    <w:p w:rsidR="00000000" w:rsidRPr="001E0C34" w:rsidP="001E0C34">
      <w:pPr>
        <w:pStyle w:val="Heading1"/>
      </w:pPr>
      <w:bookmarkStart w:id="9" w:name="O_915691"/>
      <w:bookmarkEnd w:id="9"/>
      <w:r w:rsidRPr="001E0C34">
        <w:t>Links</w:t>
      </w:r>
    </w:p>
    <w:p w:rsidR="00000000" w:rsidRPr="001E0C34" w:rsidP="00941A7C">
      <w:pPr>
        <w:pStyle w:val="BodyText"/>
      </w:pPr>
      <w:r w:rsidRPr="001E0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00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0C34" w:rsidP="001E0C34"/>
    <w:sectPr w:rsidSect="001E0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34" w:rsidRPr="00941A7C" w:rsidP="00941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7C" w:rsidP="001E0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A7C" w:rsidP="001E0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1A7C" w:rsidP="001E0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C34" w:rsidRPr="00941A7C" w:rsidP="00941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A7C" w:rsidRPr="002D2AF8" w:rsidP="001E0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FWPSAW2209 Dismantle, transport and assemble hand portable sawmill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941A7C" w:rsidP="001E0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CAC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00C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C34"/>
  </w:style>
  <w:style w:type="character" w:customStyle="1" w:styleId="Heading1Char">
    <w:name w:val="Heading 1 Char"/>
    <w:basedOn w:val="DefaultParagraphFont"/>
    <w:link w:val="Heading1"/>
    <w:rsid w:val="001E0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C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C34"/>
    <w:rPr>
      <w:b/>
      <w:spacing w:val="0"/>
    </w:rPr>
  </w:style>
  <w:style w:type="character" w:styleId="Emphasis">
    <w:name w:val="Emphasis"/>
    <w:basedOn w:val="DefaultParagraphFont"/>
    <w:qFormat/>
    <w:rsid w:val="001E0C34"/>
    <w:rPr>
      <w:i/>
    </w:rPr>
  </w:style>
  <w:style w:type="paragraph" w:customStyle="1" w:styleId="SuperHeading">
    <w:name w:val="SuperHeading"/>
    <w:basedOn w:val="Normal"/>
    <w:rsid w:val="001E0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0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C34"/>
  </w:style>
  <w:style w:type="paragraph" w:styleId="TableofFigures">
    <w:name w:val="table of figures"/>
    <w:basedOn w:val="Normal"/>
    <w:next w:val="Normal"/>
    <w:semiHidden/>
    <w:rsid w:val="001E0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C34"/>
    <w:rPr>
      <w:rFonts w:ascii="Wingdings" w:hAnsi="Wingdings"/>
    </w:rPr>
  </w:style>
  <w:style w:type="paragraph" w:customStyle="1" w:styleId="TableHeading">
    <w:name w:val="Table Heading"/>
    <w:basedOn w:val="HeadingBase"/>
    <w:rsid w:val="001E0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C34"/>
    <w:rPr>
      <w:color w:val="0033CC"/>
      <w:u w:val="none"/>
    </w:rPr>
  </w:style>
  <w:style w:type="paragraph" w:customStyle="1" w:styleId="BodyTextRight">
    <w:name w:val="Body Text Right"/>
    <w:basedOn w:val="BodyText"/>
    <w:rsid w:val="001E0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C34"/>
    <w:rPr>
      <w:sz w:val="32"/>
    </w:rPr>
  </w:style>
  <w:style w:type="paragraph" w:customStyle="1" w:styleId="HeadingProcedure">
    <w:name w:val="Heading Procedure"/>
    <w:basedOn w:val="HeadingBase"/>
    <w:next w:val="Normal"/>
    <w:rsid w:val="001E0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C34"/>
    <w:pPr>
      <w:spacing w:before="60" w:after="60"/>
    </w:pPr>
  </w:style>
  <w:style w:type="paragraph" w:styleId="ListContinue">
    <w:name w:val="List Continue"/>
    <w:basedOn w:val="List"/>
    <w:rsid w:val="001E0C34"/>
    <w:pPr>
      <w:ind w:firstLine="0"/>
    </w:pPr>
  </w:style>
  <w:style w:type="paragraph" w:customStyle="1" w:styleId="ListNote">
    <w:name w:val="List Note"/>
    <w:basedOn w:val="List"/>
    <w:rsid w:val="001E0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C34"/>
    <w:rPr>
      <w:rFonts w:ascii="Courier New" w:hAnsi="Courier New"/>
    </w:rPr>
  </w:style>
  <w:style w:type="paragraph" w:customStyle="1" w:styleId="NoteBullet">
    <w:name w:val="Note Bullet"/>
    <w:basedOn w:val="Note"/>
    <w:rsid w:val="001E0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C34"/>
    <w:rPr>
      <w:b/>
      <w:smallCaps/>
    </w:rPr>
  </w:style>
  <w:style w:type="paragraph" w:customStyle="1" w:styleId="TableListNumber">
    <w:name w:val="Table List Number"/>
    <w:basedOn w:val="ListNumber"/>
    <w:rsid w:val="001E0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C34"/>
    <w:pPr>
      <w:numPr>
        <w:numId w:val="8"/>
      </w:numPr>
    </w:pPr>
  </w:style>
  <w:style w:type="paragraph" w:customStyle="1" w:styleId="ListAlpha2">
    <w:name w:val="List Alpha 2"/>
    <w:basedOn w:val="List2"/>
    <w:rsid w:val="001E0C34"/>
    <w:pPr>
      <w:numPr>
        <w:numId w:val="7"/>
      </w:numPr>
    </w:pPr>
  </w:style>
  <w:style w:type="paragraph" w:styleId="List2">
    <w:name w:val="List 2"/>
    <w:basedOn w:val="BodyText"/>
    <w:rsid w:val="001E0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C34"/>
    <w:pPr>
      <w:numPr>
        <w:numId w:val="3"/>
      </w:numPr>
    </w:pPr>
  </w:style>
  <w:style w:type="paragraph" w:styleId="ListContinue2">
    <w:name w:val="List Continue 2"/>
    <w:basedOn w:val="List2"/>
    <w:rsid w:val="001E0C34"/>
    <w:pPr>
      <w:ind w:firstLine="0"/>
    </w:pPr>
  </w:style>
  <w:style w:type="paragraph" w:styleId="ListContinue3">
    <w:name w:val="List Continue 3"/>
    <w:basedOn w:val="List3"/>
    <w:rsid w:val="001E0C34"/>
    <w:pPr>
      <w:ind w:left="1021" w:firstLine="0"/>
    </w:pPr>
  </w:style>
  <w:style w:type="paragraph" w:styleId="ListContinue4">
    <w:name w:val="List Continue 4"/>
    <w:basedOn w:val="List4"/>
    <w:rsid w:val="001E0C34"/>
    <w:pPr>
      <w:ind w:firstLine="0"/>
    </w:pPr>
  </w:style>
  <w:style w:type="paragraph" w:styleId="ListContinue5">
    <w:name w:val="List Continue 5"/>
    <w:basedOn w:val="List5"/>
    <w:rsid w:val="001E0C34"/>
    <w:pPr>
      <w:ind w:firstLine="0"/>
    </w:pPr>
  </w:style>
  <w:style w:type="paragraph" w:styleId="ListNumber3">
    <w:name w:val="List Number 3"/>
    <w:basedOn w:val="List3"/>
    <w:rsid w:val="001E0C34"/>
    <w:pPr>
      <w:numPr>
        <w:numId w:val="4"/>
      </w:numPr>
    </w:pPr>
  </w:style>
  <w:style w:type="paragraph" w:styleId="ListNumber4">
    <w:name w:val="List Number 4"/>
    <w:basedOn w:val="List4"/>
    <w:rsid w:val="001E0C34"/>
    <w:pPr>
      <w:numPr>
        <w:numId w:val="5"/>
      </w:numPr>
    </w:pPr>
  </w:style>
  <w:style w:type="paragraph" w:styleId="ListNumber5">
    <w:name w:val="List Number 5"/>
    <w:basedOn w:val="List5"/>
    <w:rsid w:val="001E0C34"/>
    <w:pPr>
      <w:numPr>
        <w:numId w:val="6"/>
      </w:numPr>
    </w:pPr>
  </w:style>
  <w:style w:type="paragraph" w:styleId="BlockText">
    <w:name w:val="Block Text"/>
    <w:basedOn w:val="Normal"/>
    <w:rsid w:val="001E0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C34"/>
    <w:rPr>
      <w:sz w:val="16"/>
      <w:vertAlign w:val="superscript"/>
    </w:rPr>
  </w:style>
  <w:style w:type="character" w:customStyle="1" w:styleId="Symbols">
    <w:name w:val="Symbols"/>
    <w:basedOn w:val="DefaultParagraphFont"/>
    <w:rsid w:val="001E0C34"/>
    <w:rPr>
      <w:rFonts w:ascii="Symbol" w:hAnsi="Symbol"/>
    </w:rPr>
  </w:style>
  <w:style w:type="character" w:customStyle="1" w:styleId="MenuOptions">
    <w:name w:val="Menu Options"/>
    <w:basedOn w:val="DefaultParagraphFont"/>
    <w:rsid w:val="001E0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C34"/>
    <w:rPr>
      <w:b/>
    </w:rPr>
  </w:style>
  <w:style w:type="character" w:customStyle="1" w:styleId="Underlined">
    <w:name w:val="Underlined"/>
    <w:basedOn w:val="DefaultParagraphFont"/>
    <w:rsid w:val="001E0C34"/>
    <w:rPr>
      <w:u w:val="single"/>
    </w:rPr>
  </w:style>
  <w:style w:type="paragraph" w:customStyle="1" w:styleId="TableBodyTextRight">
    <w:name w:val="Table Body Text Right"/>
    <w:basedOn w:val="TableBodyText"/>
    <w:rsid w:val="001E0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C34"/>
    <w:rPr>
      <w:sz w:val="18"/>
    </w:rPr>
  </w:style>
  <w:style w:type="paragraph" w:customStyle="1" w:styleId="BodySmallRight">
    <w:name w:val="Body Small Right"/>
    <w:basedOn w:val="BodyTextRight"/>
    <w:rsid w:val="001E0C34"/>
    <w:rPr>
      <w:sz w:val="18"/>
      <w:szCs w:val="18"/>
    </w:rPr>
  </w:style>
  <w:style w:type="paragraph" w:customStyle="1" w:styleId="MarginEdition">
    <w:name w:val="Margin Edition"/>
    <w:basedOn w:val="MarginNote"/>
    <w:rsid w:val="001E0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C34"/>
    <w:rPr>
      <w:sz w:val="2"/>
      <w:szCs w:val="2"/>
    </w:rPr>
  </w:style>
  <w:style w:type="character" w:customStyle="1" w:styleId="Small">
    <w:name w:val="Small"/>
    <w:basedOn w:val="DefaultParagraphFont"/>
    <w:rsid w:val="001E0C34"/>
    <w:rPr>
      <w:sz w:val="16"/>
    </w:rPr>
  </w:style>
  <w:style w:type="paragraph" w:customStyle="1" w:styleId="WideTable">
    <w:name w:val="Wide Table"/>
    <w:basedOn w:val="Normal"/>
    <w:rsid w:val="001E0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C34"/>
  </w:style>
  <w:style w:type="paragraph" w:styleId="Quote">
    <w:name w:val="Quote"/>
    <w:basedOn w:val="Heading1"/>
    <w:link w:val="QuoteChar"/>
    <w:qFormat/>
    <w:rsid w:val="001E0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C34"/>
    <w:pPr>
      <w:pageBreakBefore/>
    </w:pPr>
  </w:style>
  <w:style w:type="paragraph" w:customStyle="1" w:styleId="Border">
    <w:name w:val="Border"/>
    <w:basedOn w:val="Normal"/>
    <w:qFormat/>
    <w:rsid w:val="001E0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C34"/>
    <w:rPr>
      <w:u w:val="single"/>
    </w:rPr>
  </w:style>
  <w:style w:type="character" w:customStyle="1" w:styleId="BoldandItalics">
    <w:name w:val="Bold and Italics"/>
    <w:qFormat/>
    <w:rsid w:val="001E0C34"/>
    <w:rPr>
      <w:b/>
      <w:i/>
      <w:u w:val="none"/>
    </w:rPr>
  </w:style>
  <w:style w:type="paragraph" w:styleId="BalloonText">
    <w:name w:val="Balloon Text"/>
    <w:basedOn w:val="Normal"/>
    <w:link w:val="BalloonTextChar"/>
    <w:rsid w:val="001E0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C34"/>
    <w:pPr>
      <w:spacing w:before="0" w:after="0"/>
    </w:pPr>
  </w:style>
  <w:style w:type="paragraph" w:customStyle="1" w:styleId="BodyTextBold">
    <w:name w:val="Body Text Bold"/>
    <w:basedOn w:val="BodyText"/>
    <w:qFormat/>
    <w:rsid w:val="001E0C34"/>
    <w:rPr>
      <w:b/>
    </w:rPr>
  </w:style>
  <w:style w:type="character" w:styleId="Hyperlink">
    <w:name w:val="Hyperlink"/>
    <w:basedOn w:val="DefaultParagraphFont"/>
    <w:uiPriority w:val="99"/>
    <w:unhideWhenUsed/>
    <w:rsid w:val="00941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3915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FWPSAW2209 Dismantle, transport and assemble hand portable sawmill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2022-02-23T00:47:00Z</dcterms:created>
  <dcterms:modified xsi:type="dcterms:W3CDTF">2022-02-23T00:47:00Z</dcterms:modified>
</cp:coreProperties>
</file>