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34B" w:rsidP="00A003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FWPFGM4205 Monitor regeneration rates</w:t>
      </w:r>
      <w:r>
        <w:fldChar w:fldCharType="end"/>
      </w:r>
    </w:p>
    <w:p w:rsidR="00A0034B" w:rsidP="00A0034B">
      <w:pPr>
        <w:pStyle w:val="Version"/>
        <w:sectPr w:rsidSect="00B12D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2DAF" w:rsidP="00B12DAF">
      <w:pPr>
        <w:pStyle w:val="SuperHeading"/>
      </w:pPr>
      <w:r w:rsidRPr="00B12DAF">
        <w:t>FWPFGM4205 Monitor regeneration rates</w:t>
      </w:r>
    </w:p>
    <w:p w:rsidR="00000000" w:rsidRPr="00B12DAF" w:rsidP="00B12DAF">
      <w:pPr>
        <w:pStyle w:val="Heading1"/>
      </w:pPr>
      <w:bookmarkStart w:id="1" w:name="O_914705"/>
      <w:bookmarkEnd w:id="1"/>
      <w:r w:rsidRPr="00B12DA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003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AF" w:rsidP="00B12DAF">
            <w:pPr>
              <w:pStyle w:val="BodyText"/>
            </w:pPr>
            <w:r w:rsidRPr="00B12DA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AF">
            <w:pPr>
              <w:pStyle w:val="BodyText"/>
              <w:rPr>
                <w:lang w:val="en-NZ"/>
              </w:rPr>
            </w:pPr>
            <w:r w:rsidRPr="00B12DAF">
              <w:rPr>
                <w:rStyle w:val="SpecialBold"/>
              </w:rPr>
              <w:t>Comment</w:t>
            </w:r>
          </w:p>
        </w:tc>
      </w:tr>
      <w:tr w:rsidTr="00A003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AF">
            <w:pPr>
              <w:pStyle w:val="BodyText"/>
              <w:rPr>
                <w:lang w:val="en-NZ"/>
              </w:rPr>
            </w:pPr>
            <w:r w:rsidRPr="00B12DA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AF" w:rsidP="00B12DAF">
            <w:pPr>
              <w:pStyle w:val="BodyText"/>
            </w:pPr>
            <w:r w:rsidRPr="00B12DAF">
              <w:t>Replaces equivalent unit FPIFGM4205B Monitor regeneration rates, which was first released with FPI11 Forest and Forest Products Training Package Version 2.2.</w:t>
            </w:r>
          </w:p>
          <w:p w:rsidR="00000000" w:rsidRPr="00B12DAF" w:rsidP="00B12DAF">
            <w:pPr>
              <w:pStyle w:val="BodyText"/>
            </w:pPr>
            <w:r w:rsidRPr="00B12DAF">
              <w:t>This is the first release of this unit in the new standard</w:t>
            </w:r>
            <w:r w:rsidRPr="00B12DAF">
              <w:t>s format.</w:t>
            </w:r>
          </w:p>
        </w:tc>
      </w:tr>
    </w:tbl>
    <w:p w:rsidR="00000000" w:rsidRPr="00B12DAF" w:rsidP="00B12DAF">
      <w:pPr>
        <w:pStyle w:val="BodyText"/>
      </w:pPr>
    </w:p>
    <w:p w:rsidR="00000000" w:rsidRPr="00B12DAF" w:rsidP="00B12DAF">
      <w:pPr>
        <w:pStyle w:val="AllowPageBreak"/>
      </w:pPr>
    </w:p>
    <w:p w:rsidR="00000000" w:rsidRPr="00B12DAF" w:rsidP="00B12DAF">
      <w:pPr>
        <w:pStyle w:val="Heading1"/>
      </w:pPr>
      <w:bookmarkStart w:id="2" w:name="O_914706"/>
      <w:bookmarkEnd w:id="2"/>
      <w:r w:rsidRPr="00B12DAF">
        <w:t>Application</w:t>
      </w:r>
    </w:p>
    <w:p w:rsidR="00000000" w:rsidRPr="00B12DAF" w:rsidP="00A0034B">
      <w:pPr>
        <w:pStyle w:val="BodyText"/>
      </w:pPr>
      <w:r w:rsidRPr="00B12DAF">
        <w:t>This unit of competency describes the outcomes required to monitor and coordinate the assessment of new plant stocks within a forestry area. The unit includes the assessment of germination, survival, regeneration an</w:t>
      </w:r>
      <w:r w:rsidRPr="00B12DAF">
        <w:t>d basal area surveys.</w:t>
      </w:r>
    </w:p>
    <w:p w:rsidR="00000000" w:rsidRPr="00B12DAF" w:rsidP="00A0034B">
      <w:pPr>
        <w:pStyle w:val="BodyText"/>
      </w:pPr>
      <w:r w:rsidRPr="00B12DAF">
        <w:t>The unit applies to job roles including Arboriculture Supervisor, Farm Forestry Supervisor, Forestry Supervisor, Forestry Operations Supervisor, Harvesting Supervisor, Harvesting Team Leader, Propagation and Stand Health Supervisor an</w:t>
      </w:r>
      <w:r w:rsidRPr="00B12DAF">
        <w:t>d Tree Farm Supervisor.</w:t>
      </w:r>
    </w:p>
    <w:p w:rsidR="00000000" w:rsidRPr="00B12DAF" w:rsidP="00A0034B">
      <w:pPr>
        <w:pStyle w:val="BodyText"/>
      </w:pPr>
      <w:r w:rsidRPr="00B12DAF">
        <w:t>No licensing, legislative, regulatory, or certification requirements apply to this unit at the time of publication.</w:t>
      </w:r>
    </w:p>
    <w:p w:rsidR="00000000" w:rsidRPr="00B12DAF" w:rsidP="00B12DAF">
      <w:pPr>
        <w:pStyle w:val="Heading1"/>
      </w:pPr>
      <w:bookmarkStart w:id="3" w:name="O_914707"/>
      <w:bookmarkEnd w:id="3"/>
      <w:r w:rsidRPr="00B12DAF">
        <w:t>Pre-requisite Unit</w:t>
      </w:r>
    </w:p>
    <w:p w:rsidR="00000000" w:rsidRPr="00B12DAF" w:rsidP="00A0034B">
      <w:pPr>
        <w:pStyle w:val="BodyText"/>
      </w:pPr>
      <w:r w:rsidRPr="00B12DAF">
        <w:t>Nil</w:t>
      </w:r>
    </w:p>
    <w:p w:rsidR="00000000" w:rsidRPr="00B12DAF" w:rsidP="00B12DAF">
      <w:pPr>
        <w:pStyle w:val="Heading1"/>
      </w:pPr>
      <w:bookmarkStart w:id="4" w:name="O_914709"/>
      <w:bookmarkEnd w:id="4"/>
      <w:r w:rsidRPr="00B12DAF">
        <w:t>Unit Sector</w:t>
      </w:r>
    </w:p>
    <w:p w:rsidR="00000000" w:rsidRPr="00B12DAF" w:rsidP="00A0034B">
      <w:pPr>
        <w:pStyle w:val="BodyText"/>
      </w:pPr>
      <w:r w:rsidRPr="00B12DAF">
        <w:t>Forest Growing and Management</w:t>
      </w:r>
    </w:p>
    <w:p w:rsidR="00000000" w:rsidRPr="00B12DAF" w:rsidP="00B12DAF">
      <w:pPr>
        <w:pStyle w:val="Heading1"/>
      </w:pPr>
      <w:bookmarkStart w:id="5" w:name="O_914710"/>
      <w:bookmarkEnd w:id="5"/>
      <w:r w:rsidRPr="00B12DA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003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AF" w:rsidP="00B12DAF">
            <w:pPr>
              <w:pStyle w:val="BodyText"/>
            </w:pPr>
            <w:r w:rsidRPr="00B12DA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AF">
            <w:pPr>
              <w:pStyle w:val="BodyText"/>
              <w:rPr>
                <w:lang w:val="en-NZ"/>
              </w:rPr>
            </w:pPr>
            <w:r w:rsidRPr="00B12DAF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in the range of </w:t>
            </w:r>
            <w:r w:rsidRPr="00B12DAF">
              <w:rPr>
                <w:rStyle w:val="Emphasis"/>
              </w:rPr>
              <w:t>conditions.</w:t>
            </w:r>
          </w:p>
        </w:tc>
      </w:tr>
      <w:tr w:rsidTr="00A003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AF">
            <w:pPr>
              <w:pStyle w:val="BodyText"/>
              <w:rPr>
                <w:lang w:val="en-NZ"/>
              </w:rPr>
            </w:pPr>
            <w:r w:rsidRPr="00B12DAF">
              <w:t>1. Prepare for monitoring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AF" w:rsidP="00B12DAF">
            <w:pPr>
              <w:pStyle w:val="BodyText"/>
            </w:pPr>
            <w:r w:rsidRPr="00B12DAF">
              <w:t>1.1 Determine frequency of assessment for particular forest area, and calculate size of sample area from inventory programs, budgets and organisational guidelines.</w:t>
            </w:r>
          </w:p>
          <w:p w:rsidR="00000000" w:rsidRPr="00B12DAF" w:rsidP="00B12DAF">
            <w:pPr>
              <w:pStyle w:val="BodyText"/>
            </w:pPr>
            <w:r w:rsidRPr="00B12DAF">
              <w:t>1.2 Research and record types of regeneration for the</w:t>
            </w:r>
            <w:r w:rsidRPr="00B12DAF">
              <w:t xml:space="preserve"> location to be assessed.</w:t>
            </w:r>
          </w:p>
          <w:p w:rsidR="00000000" w:rsidRPr="00B12DAF" w:rsidP="00B12DAF">
            <w:pPr>
              <w:pStyle w:val="BodyText"/>
            </w:pPr>
            <w:r w:rsidRPr="00B12DAF">
              <w:t>1.3 Select methods of measurement of regeneration measurement according to the forest management plan.</w:t>
            </w:r>
          </w:p>
          <w:p w:rsidR="00000000" w:rsidP="00B12DAF">
            <w:pPr>
              <w:pStyle w:val="BodyText"/>
              <w:rPr>
                <w:lang w:val="en-NZ"/>
              </w:rPr>
            </w:pPr>
            <w:r w:rsidRPr="00B12DAF">
              <w:t>1.4 Identify and follow site environmental protection measures in the course of the monitoring</w:t>
            </w:r>
          </w:p>
        </w:tc>
      </w:tr>
      <w:tr w:rsidTr="00A003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AF">
            <w:pPr>
              <w:pStyle w:val="BodyText"/>
              <w:rPr>
                <w:lang w:val="en-NZ"/>
              </w:rPr>
            </w:pPr>
            <w:r w:rsidRPr="00B12DAF">
              <w:t>2. Implement assessment of rege</w:t>
            </w:r>
            <w:r w:rsidRPr="00B12DAF">
              <w:t>neration rates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AF" w:rsidP="00B12DAF">
            <w:pPr>
              <w:pStyle w:val="BodyText"/>
            </w:pPr>
            <w:r w:rsidRPr="00B12DAF">
              <w:t>2.1 Select method of assessment according to the forest type, and local, environmental and organisational guidelines.</w:t>
            </w:r>
          </w:p>
          <w:p w:rsidR="00000000" w:rsidRPr="00B12DAF" w:rsidP="00B12DAF">
            <w:pPr>
              <w:pStyle w:val="BodyText"/>
            </w:pPr>
            <w:r w:rsidRPr="00B12DAF">
              <w:t>2.2 Coordinate people, materials and equipment for the assessment.</w:t>
            </w:r>
          </w:p>
          <w:p w:rsidR="00000000" w:rsidRPr="00B12DAF" w:rsidP="00B12DAF">
            <w:pPr>
              <w:pStyle w:val="BodyText"/>
            </w:pPr>
            <w:r w:rsidRPr="00B12DAF">
              <w:t>2.3 Develop a schedule for the assessment in conjunction</w:t>
            </w:r>
            <w:r w:rsidRPr="00B12DAF">
              <w:t xml:space="preserve"> with other relevant forest operations personnel.</w:t>
            </w:r>
          </w:p>
          <w:p w:rsidR="00000000" w:rsidRPr="00B12DAF" w:rsidP="00B12DAF">
            <w:pPr>
              <w:pStyle w:val="BodyText"/>
            </w:pPr>
            <w:r w:rsidRPr="00B12DAF">
              <w:t>2.4 Obtain necessary permits or licences required for the assessment.</w:t>
            </w:r>
          </w:p>
          <w:p w:rsidR="00000000" w:rsidRPr="00B12DAF" w:rsidP="00B12DAF">
            <w:pPr>
              <w:pStyle w:val="BodyText"/>
            </w:pPr>
            <w:r w:rsidRPr="00B12DAF">
              <w:t>2.5 Direct personnel undertake the assessment and collect the data on regeneration rates.</w:t>
            </w:r>
          </w:p>
          <w:p w:rsidR="00000000" w:rsidP="00B12DAF">
            <w:pPr>
              <w:pStyle w:val="BodyText"/>
              <w:rPr>
                <w:lang w:val="en-NZ"/>
              </w:rPr>
            </w:pPr>
            <w:r w:rsidRPr="00B12DAF">
              <w:t xml:space="preserve">2.6 Interpret, translate and report on data retrieved from the assessment. </w:t>
            </w:r>
          </w:p>
        </w:tc>
      </w:tr>
      <w:tr w:rsidTr="00A003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DAF">
            <w:pPr>
              <w:pStyle w:val="BodyText"/>
              <w:rPr>
                <w:lang w:val="en-NZ"/>
              </w:rPr>
            </w:pPr>
            <w:r w:rsidRPr="00B12DAF">
              <w:t>3. Monitor and review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DAF" w:rsidP="00B12DAF">
            <w:pPr>
              <w:pStyle w:val="BodyText"/>
            </w:pPr>
            <w:r w:rsidRPr="00B12DAF">
              <w:t>3.1 Ensure compliance with environmental protection measures, relevant legislation and regulations.</w:t>
            </w:r>
          </w:p>
          <w:p w:rsidR="00000000" w:rsidRPr="00B12DAF" w:rsidP="00B12DAF">
            <w:pPr>
              <w:pStyle w:val="BodyText"/>
            </w:pPr>
            <w:r w:rsidRPr="00B12DAF">
              <w:t>3.2 Communicate with operational staff and con</w:t>
            </w:r>
            <w:r w:rsidRPr="00B12DAF">
              <w:t>tractors during the assessment phase to ensure smooth operation and progress</w:t>
            </w:r>
          </w:p>
          <w:p w:rsidR="00000000" w:rsidRPr="00B12DAF" w:rsidP="00B12DAF">
            <w:pPr>
              <w:pStyle w:val="BodyText"/>
            </w:pPr>
            <w:r w:rsidRPr="00B12DAF">
              <w:t>3.3 Monitor and review operational activities and consult operational staff and contractors for potential improvements</w:t>
            </w:r>
          </w:p>
          <w:p w:rsidR="00000000" w:rsidRPr="00B12DAF" w:rsidP="00B12DAF">
            <w:pPr>
              <w:pStyle w:val="BodyText"/>
            </w:pPr>
            <w:r w:rsidRPr="00B12DAF">
              <w:t>3.4 Review assessment method for potential improvements.</w:t>
            </w:r>
          </w:p>
          <w:p w:rsidR="00000000" w:rsidRPr="00B12DAF" w:rsidP="00B12DAF">
            <w:pPr>
              <w:pStyle w:val="BodyText"/>
            </w:pPr>
            <w:r w:rsidRPr="00B12DAF">
              <w:t>3.5</w:t>
            </w:r>
            <w:r w:rsidRPr="00B12DAF">
              <w:t xml:space="preserve"> Record and report on assessment results according to organisational procedures.  </w:t>
            </w:r>
          </w:p>
        </w:tc>
      </w:tr>
    </w:tbl>
    <w:p w:rsidR="00000000" w:rsidRPr="00B12DAF" w:rsidP="00B12DAF">
      <w:pPr>
        <w:pStyle w:val="BodyText"/>
      </w:pPr>
    </w:p>
    <w:p w:rsidR="00000000" w:rsidRPr="00B12DAF" w:rsidP="00B12DAF">
      <w:pPr>
        <w:pStyle w:val="AllowPageBreak"/>
      </w:pPr>
    </w:p>
    <w:p w:rsidR="00000000" w:rsidRPr="00B12DAF" w:rsidP="00B12DAF">
      <w:pPr>
        <w:pStyle w:val="Heading1"/>
      </w:pPr>
      <w:bookmarkStart w:id="6" w:name="O_914711"/>
      <w:bookmarkEnd w:id="6"/>
      <w:r w:rsidRPr="00B12DAF">
        <w:t>Foundation Skills</w:t>
      </w:r>
    </w:p>
    <w:p w:rsidR="00000000" w:rsidRPr="00B12DAF" w:rsidP="00A0034B">
      <w:pPr>
        <w:pStyle w:val="BodyText"/>
      </w:pPr>
      <w:r w:rsidRPr="00B12DAF">
        <w:t>Foundation skills essential to performance are explicit in the performance criteria of this unit of competency.</w:t>
      </w:r>
    </w:p>
    <w:p w:rsidR="00000000" w:rsidRPr="00B12DAF" w:rsidP="00B12DAF">
      <w:pPr>
        <w:pStyle w:val="Heading1"/>
      </w:pPr>
      <w:bookmarkStart w:id="7" w:name="O_914712"/>
      <w:bookmarkEnd w:id="7"/>
      <w:r w:rsidRPr="00B12DAF">
        <w:t>Range o</w:t>
      </w:r>
      <w:r w:rsidRPr="00B12DAF">
        <w:t>f Conditions</w:t>
      </w:r>
    </w:p>
    <w:p w:rsidR="00000000" w:rsidRPr="00B12DAF" w:rsidP="00A0034B">
      <w:pPr>
        <w:pStyle w:val="BodyText"/>
      </w:pPr>
      <w:r w:rsidRPr="00B12DAF">
        <w:t>Not Applicable</w:t>
      </w:r>
    </w:p>
    <w:p w:rsidR="00000000" w:rsidRPr="00B12DAF" w:rsidP="00B12DAF">
      <w:pPr>
        <w:pStyle w:val="Heading1"/>
      </w:pPr>
      <w:bookmarkStart w:id="8" w:name="O_914713"/>
      <w:bookmarkEnd w:id="8"/>
      <w:r w:rsidRPr="00B12DAF">
        <w:t>Unit Mapping Information</w:t>
      </w:r>
    </w:p>
    <w:p w:rsidR="00000000" w:rsidRPr="00B12DAF" w:rsidP="00A0034B">
      <w:pPr>
        <w:pStyle w:val="BodyText"/>
      </w:pPr>
      <w:r w:rsidRPr="00B12DAF">
        <w:t xml:space="preserve">FPIFGM4205B Monitor regeneration rates </w:t>
      </w:r>
    </w:p>
    <w:p w:rsidR="00000000" w:rsidRPr="00B12DAF" w:rsidP="00B12DAF">
      <w:pPr>
        <w:pStyle w:val="Heading1"/>
      </w:pPr>
      <w:bookmarkStart w:id="9" w:name="O_914720"/>
      <w:bookmarkEnd w:id="9"/>
      <w:r w:rsidRPr="00B12DAF">
        <w:t>Links</w:t>
      </w:r>
    </w:p>
    <w:p w:rsidR="00000000" w:rsidRPr="00B12DAF" w:rsidP="00A0034B">
      <w:pPr>
        <w:pStyle w:val="BodyText"/>
      </w:pPr>
      <w:r w:rsidRPr="00B12D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D6B4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12DAF" w:rsidP="00B12DAF"/>
    <w:sectPr w:rsidSect="00B12D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AF" w:rsidRPr="00A0034B" w:rsidP="00A003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4B" w:rsidP="00B12D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34B" w:rsidP="00B12D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034B" w:rsidP="00B12D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DAF" w:rsidRPr="00A0034B" w:rsidP="00A003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D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4B" w:rsidRPr="002D2AF8" w:rsidP="00B12D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FWPFGM4205 Monitor regeneration 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A0034B" w:rsidP="00B12D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D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D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D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D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D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D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D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D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D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D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D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DAF"/>
  </w:style>
  <w:style w:type="character" w:customStyle="1" w:styleId="Heading1Char">
    <w:name w:val="Heading 1 Char"/>
    <w:basedOn w:val="DefaultParagraphFont"/>
    <w:link w:val="Heading1"/>
    <w:rsid w:val="00B12D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D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DA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12DAF"/>
    <w:rPr>
      <w:b/>
      <w:spacing w:val="0"/>
    </w:rPr>
  </w:style>
  <w:style w:type="character" w:styleId="Emphasis">
    <w:name w:val="Emphasis"/>
    <w:basedOn w:val="DefaultParagraphFont"/>
    <w:qFormat/>
    <w:rsid w:val="00B12DAF"/>
    <w:rPr>
      <w:i/>
    </w:rPr>
  </w:style>
  <w:style w:type="paragraph" w:customStyle="1" w:styleId="SuperHeading">
    <w:name w:val="SuperHeading"/>
    <w:basedOn w:val="Normal"/>
    <w:rsid w:val="00B12D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D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2D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D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D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D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D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D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D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D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D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D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D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D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D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D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2D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2D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2D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2D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D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D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2D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2D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D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D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D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D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D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D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D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D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2D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D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D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DAF"/>
  </w:style>
  <w:style w:type="paragraph" w:styleId="TableofFigures">
    <w:name w:val="table of figures"/>
    <w:basedOn w:val="Normal"/>
    <w:next w:val="Normal"/>
    <w:semiHidden/>
    <w:rsid w:val="00B12D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D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2DAF"/>
    <w:rPr>
      <w:rFonts w:ascii="Wingdings" w:hAnsi="Wingdings"/>
    </w:rPr>
  </w:style>
  <w:style w:type="paragraph" w:customStyle="1" w:styleId="TableHeading">
    <w:name w:val="Table Heading"/>
    <w:basedOn w:val="HeadingBase"/>
    <w:rsid w:val="00B12D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DAF"/>
    <w:rPr>
      <w:color w:val="0033CC"/>
      <w:u w:val="none"/>
    </w:rPr>
  </w:style>
  <w:style w:type="paragraph" w:customStyle="1" w:styleId="BodyTextRight">
    <w:name w:val="Body Text Right"/>
    <w:basedOn w:val="BodyText"/>
    <w:rsid w:val="00B12D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D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D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D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D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D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DAF"/>
    <w:rPr>
      <w:sz w:val="32"/>
    </w:rPr>
  </w:style>
  <w:style w:type="paragraph" w:customStyle="1" w:styleId="HeadingProcedure">
    <w:name w:val="Heading Procedure"/>
    <w:basedOn w:val="HeadingBase"/>
    <w:next w:val="Normal"/>
    <w:rsid w:val="00B12D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DAF"/>
    <w:pPr>
      <w:spacing w:before="60" w:after="60"/>
    </w:pPr>
  </w:style>
  <w:style w:type="paragraph" w:styleId="ListContinue">
    <w:name w:val="List Continue"/>
    <w:basedOn w:val="List"/>
    <w:rsid w:val="00B12DAF"/>
    <w:pPr>
      <w:ind w:firstLine="0"/>
    </w:pPr>
  </w:style>
  <w:style w:type="paragraph" w:customStyle="1" w:styleId="ListNote">
    <w:name w:val="List Note"/>
    <w:basedOn w:val="List"/>
    <w:rsid w:val="00B12D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D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D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DAF"/>
    <w:rPr>
      <w:rFonts w:ascii="Courier New" w:hAnsi="Courier New"/>
    </w:rPr>
  </w:style>
  <w:style w:type="paragraph" w:customStyle="1" w:styleId="NoteBullet">
    <w:name w:val="Note Bullet"/>
    <w:basedOn w:val="Note"/>
    <w:rsid w:val="00B12D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D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D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D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D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2D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D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DAF"/>
    <w:rPr>
      <w:b/>
      <w:smallCaps/>
    </w:rPr>
  </w:style>
  <w:style w:type="paragraph" w:customStyle="1" w:styleId="TableListNumber">
    <w:name w:val="Table List Number"/>
    <w:basedOn w:val="ListNumber"/>
    <w:rsid w:val="00B12D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D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DAF"/>
    <w:pPr>
      <w:numPr>
        <w:numId w:val="7"/>
      </w:numPr>
    </w:pPr>
  </w:style>
  <w:style w:type="paragraph" w:customStyle="1" w:styleId="ListAlpha2">
    <w:name w:val="List Alpha 2"/>
    <w:basedOn w:val="List2"/>
    <w:rsid w:val="00B12DAF"/>
    <w:pPr>
      <w:numPr>
        <w:numId w:val="6"/>
      </w:numPr>
    </w:pPr>
  </w:style>
  <w:style w:type="paragraph" w:styleId="List2">
    <w:name w:val="List 2"/>
    <w:basedOn w:val="BodyText"/>
    <w:rsid w:val="00B12D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D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D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D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2D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2D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2DAF"/>
    <w:pPr>
      <w:numPr>
        <w:numId w:val="2"/>
      </w:numPr>
    </w:pPr>
  </w:style>
  <w:style w:type="paragraph" w:styleId="ListContinue2">
    <w:name w:val="List Continue 2"/>
    <w:basedOn w:val="List2"/>
    <w:rsid w:val="00B12DAF"/>
    <w:pPr>
      <w:ind w:firstLine="0"/>
    </w:pPr>
  </w:style>
  <w:style w:type="paragraph" w:styleId="ListContinue3">
    <w:name w:val="List Continue 3"/>
    <w:basedOn w:val="List3"/>
    <w:rsid w:val="00B12DAF"/>
    <w:pPr>
      <w:ind w:left="1021" w:firstLine="0"/>
    </w:pPr>
  </w:style>
  <w:style w:type="paragraph" w:styleId="ListContinue4">
    <w:name w:val="List Continue 4"/>
    <w:basedOn w:val="List4"/>
    <w:rsid w:val="00B12DAF"/>
    <w:pPr>
      <w:ind w:firstLine="0"/>
    </w:pPr>
  </w:style>
  <w:style w:type="paragraph" w:styleId="ListContinue5">
    <w:name w:val="List Continue 5"/>
    <w:basedOn w:val="List5"/>
    <w:rsid w:val="00B12DAF"/>
    <w:pPr>
      <w:ind w:firstLine="0"/>
    </w:pPr>
  </w:style>
  <w:style w:type="paragraph" w:styleId="ListNumber3">
    <w:name w:val="List Number 3"/>
    <w:basedOn w:val="List3"/>
    <w:rsid w:val="00B12DAF"/>
    <w:pPr>
      <w:numPr>
        <w:numId w:val="3"/>
      </w:numPr>
    </w:pPr>
  </w:style>
  <w:style w:type="paragraph" w:styleId="ListNumber4">
    <w:name w:val="List Number 4"/>
    <w:basedOn w:val="List4"/>
    <w:rsid w:val="00B12DAF"/>
    <w:pPr>
      <w:numPr>
        <w:numId w:val="4"/>
      </w:numPr>
    </w:pPr>
  </w:style>
  <w:style w:type="paragraph" w:styleId="ListNumber5">
    <w:name w:val="List Number 5"/>
    <w:basedOn w:val="List5"/>
    <w:rsid w:val="00B12DAF"/>
    <w:pPr>
      <w:numPr>
        <w:numId w:val="5"/>
      </w:numPr>
    </w:pPr>
  </w:style>
  <w:style w:type="paragraph" w:styleId="BlockText">
    <w:name w:val="Block Text"/>
    <w:basedOn w:val="Normal"/>
    <w:rsid w:val="00B12D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D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DAF"/>
    <w:rPr>
      <w:sz w:val="16"/>
      <w:vertAlign w:val="superscript"/>
    </w:rPr>
  </w:style>
  <w:style w:type="character" w:customStyle="1" w:styleId="Symbols">
    <w:name w:val="Symbols"/>
    <w:basedOn w:val="DefaultParagraphFont"/>
    <w:rsid w:val="00B12DAF"/>
    <w:rPr>
      <w:rFonts w:ascii="Symbol" w:hAnsi="Symbol"/>
    </w:rPr>
  </w:style>
  <w:style w:type="character" w:customStyle="1" w:styleId="MenuOptions">
    <w:name w:val="Menu Options"/>
    <w:basedOn w:val="DefaultParagraphFont"/>
    <w:rsid w:val="00B12D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DAF"/>
    <w:rPr>
      <w:b/>
    </w:rPr>
  </w:style>
  <w:style w:type="character" w:customStyle="1" w:styleId="Underlined">
    <w:name w:val="Underlined"/>
    <w:basedOn w:val="DefaultParagraphFont"/>
    <w:rsid w:val="00B12DAF"/>
    <w:rPr>
      <w:u w:val="single"/>
    </w:rPr>
  </w:style>
  <w:style w:type="paragraph" w:customStyle="1" w:styleId="TableBodyTextRight">
    <w:name w:val="Table Body Text Right"/>
    <w:basedOn w:val="TableBodyText"/>
    <w:rsid w:val="00B12D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DAF"/>
    <w:rPr>
      <w:sz w:val="18"/>
    </w:rPr>
  </w:style>
  <w:style w:type="paragraph" w:customStyle="1" w:styleId="BodySmallRight">
    <w:name w:val="Body Small Right"/>
    <w:basedOn w:val="BodyTextRight"/>
    <w:rsid w:val="00B12DAF"/>
    <w:rPr>
      <w:sz w:val="18"/>
      <w:szCs w:val="18"/>
    </w:rPr>
  </w:style>
  <w:style w:type="paragraph" w:customStyle="1" w:styleId="MarginEdition">
    <w:name w:val="Margin Edition"/>
    <w:basedOn w:val="MarginNote"/>
    <w:rsid w:val="00B12D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DAF"/>
    <w:rPr>
      <w:sz w:val="2"/>
      <w:szCs w:val="2"/>
    </w:rPr>
  </w:style>
  <w:style w:type="character" w:customStyle="1" w:styleId="Small">
    <w:name w:val="Small"/>
    <w:basedOn w:val="DefaultParagraphFont"/>
    <w:rsid w:val="00B12DAF"/>
    <w:rPr>
      <w:sz w:val="16"/>
    </w:rPr>
  </w:style>
  <w:style w:type="paragraph" w:customStyle="1" w:styleId="WideTable">
    <w:name w:val="Wide Table"/>
    <w:basedOn w:val="Normal"/>
    <w:rsid w:val="00B12D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DAF"/>
  </w:style>
  <w:style w:type="paragraph" w:styleId="Quote">
    <w:name w:val="Quote"/>
    <w:basedOn w:val="Heading1"/>
    <w:link w:val="QuoteChar"/>
    <w:qFormat/>
    <w:rsid w:val="00B12D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D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DAF"/>
    <w:pPr>
      <w:pageBreakBefore/>
    </w:pPr>
  </w:style>
  <w:style w:type="paragraph" w:customStyle="1" w:styleId="Border">
    <w:name w:val="Border"/>
    <w:basedOn w:val="Normal"/>
    <w:qFormat/>
    <w:rsid w:val="00B12D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D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D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D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D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D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D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D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D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DAF"/>
    <w:rPr>
      <w:u w:val="single"/>
    </w:rPr>
  </w:style>
  <w:style w:type="character" w:customStyle="1" w:styleId="BoldandItalics">
    <w:name w:val="Bold and Italics"/>
    <w:qFormat/>
    <w:rsid w:val="00B12DAF"/>
    <w:rPr>
      <w:b/>
      <w:i/>
      <w:u w:val="none"/>
    </w:rPr>
  </w:style>
  <w:style w:type="paragraph" w:styleId="BalloonText">
    <w:name w:val="Balloon Text"/>
    <w:basedOn w:val="Normal"/>
    <w:link w:val="BalloonTextChar"/>
    <w:rsid w:val="00B12D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D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D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D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D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D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DAF"/>
    <w:pPr>
      <w:spacing w:before="0" w:after="0"/>
    </w:pPr>
  </w:style>
  <w:style w:type="paragraph" w:customStyle="1" w:styleId="BodyTextBold">
    <w:name w:val="Body Text Bold"/>
    <w:basedOn w:val="BodyText"/>
    <w:qFormat/>
    <w:rsid w:val="00B12DAF"/>
    <w:rPr>
      <w:b/>
    </w:rPr>
  </w:style>
  <w:style w:type="character" w:styleId="Hyperlink">
    <w:name w:val="Hyperlink"/>
    <w:basedOn w:val="DefaultParagraphFont"/>
    <w:uiPriority w:val="99"/>
    <w:unhideWhenUsed/>
    <w:rsid w:val="00A003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2974</Characters>
  <Application>Microsoft Office Word</Application>
  <DocSecurity>0</DocSecurity>
  <Lines>90</Lines>
  <Paragraphs>55</Paragraphs>
  <ScaleCrop>false</ScaleCrop>
  <Company>Author-it Software Corporation Ltd.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FWPFGM4205 Monitor regeneration rates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2021-04-29T02:23:00Z</dcterms:created>
  <dcterms:modified xsi:type="dcterms:W3CDTF">2021-04-29T02:23:00Z</dcterms:modified>
</cp:coreProperties>
</file>