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F45" w:rsidP="00327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FWPFGM2206 Collect data or samples for assessment</w:t>
      </w:r>
      <w:r>
        <w:fldChar w:fldCharType="end"/>
      </w:r>
    </w:p>
    <w:p w:rsidR="00327F45" w:rsidP="00327F45">
      <w:pPr>
        <w:pStyle w:val="Version"/>
        <w:sectPr w:rsidSect="009A3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C0A" w:rsidP="009A3C0A">
      <w:pPr>
        <w:pStyle w:val="SuperHeading"/>
      </w:pPr>
      <w:r w:rsidRPr="009A3C0A">
        <w:t>FWPFGM2206 Collect data or samples for assessment</w:t>
      </w:r>
    </w:p>
    <w:p w:rsidR="00000000" w:rsidRPr="009A3C0A" w:rsidP="009A3C0A">
      <w:pPr>
        <w:pStyle w:val="Heading1"/>
      </w:pPr>
      <w:bookmarkStart w:id="1" w:name="O_913986"/>
      <w:bookmarkEnd w:id="1"/>
      <w:r w:rsidRPr="009A3C0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0A" w:rsidP="009A3C0A">
            <w:pPr>
              <w:pStyle w:val="BodyText"/>
            </w:pPr>
            <w:r w:rsidRPr="009A3C0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rPr>
                <w:rStyle w:val="SpecialBold"/>
              </w:rPr>
              <w:t>Comment</w:t>
            </w:r>
          </w:p>
        </w:tc>
      </w:tr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0A" w:rsidP="009A3C0A">
            <w:pPr>
              <w:pStyle w:val="BodyText"/>
            </w:pPr>
            <w:r w:rsidRPr="009A3C0A">
              <w:t>Replaces equivalent unit FPIFGM2206B Collect data or samples for assessment, was first released with FPI11 Forest and Forest Products Training Package Version 2.2.</w:t>
            </w:r>
          </w:p>
          <w:p w:rsidR="00000000" w:rsidRPr="009A3C0A" w:rsidP="009A3C0A">
            <w:pPr>
              <w:pStyle w:val="BodyText"/>
            </w:pPr>
            <w:r w:rsidRPr="009A3C0A">
              <w:t>This is the first release of this unit in th</w:t>
            </w:r>
            <w:r w:rsidRPr="009A3C0A">
              <w:t>e new standards format.</w:t>
            </w:r>
          </w:p>
        </w:tc>
      </w:tr>
    </w:tbl>
    <w:p w:rsidR="00000000" w:rsidRPr="009A3C0A" w:rsidP="009A3C0A">
      <w:pPr>
        <w:pStyle w:val="BodyText"/>
      </w:pPr>
    </w:p>
    <w:p w:rsidR="00000000" w:rsidRPr="009A3C0A" w:rsidP="009A3C0A">
      <w:pPr>
        <w:pStyle w:val="AllowPageBreak"/>
      </w:pPr>
    </w:p>
    <w:p w:rsidR="00000000" w:rsidRPr="009A3C0A" w:rsidP="009A3C0A">
      <w:pPr>
        <w:pStyle w:val="Heading1"/>
      </w:pPr>
      <w:bookmarkStart w:id="2" w:name="O_913987"/>
      <w:bookmarkEnd w:id="2"/>
      <w:r w:rsidRPr="009A3C0A">
        <w:t>Application</w:t>
      </w:r>
    </w:p>
    <w:p w:rsidR="00000000" w:rsidRPr="009A3C0A" w:rsidP="00327F45">
      <w:pPr>
        <w:pStyle w:val="BodyText"/>
      </w:pPr>
      <w:r w:rsidRPr="009A3C0A">
        <w:t xml:space="preserve">This unit of competency describes the outcomes required to collect data and samples from specified areas for the purposes of assessment.  Data and samples can be for a diverse range of items including </w:t>
      </w:r>
      <w:r w:rsidRPr="009A3C0A">
        <w:t>foliage, wood, soil, seeds, pollen, weeds and insects. The unit includes interpreting maps and plans, marking the sample area, measuring aspects of the sample area, and recording the results in a format suitable for further analysis. Work is completed in a</w:t>
      </w:r>
      <w:r w:rsidRPr="009A3C0A">
        <w:t xml:space="preserve"> forest environment.</w:t>
      </w:r>
    </w:p>
    <w:p w:rsidR="00000000" w:rsidRPr="009A3C0A" w:rsidP="00327F45">
      <w:pPr>
        <w:pStyle w:val="BodyText"/>
      </w:pPr>
      <w:r w:rsidRPr="009A3C0A">
        <w:t>The unit applies to Forestry worker, Arboriculture worker, Farm forestry worker, Nursery worker</w:t>
      </w:r>
    </w:p>
    <w:p w:rsidR="00000000" w:rsidRPr="009A3C0A" w:rsidP="00327F45">
      <w:pPr>
        <w:pStyle w:val="Heading3"/>
      </w:pPr>
      <w:r w:rsidRPr="009A3C0A">
        <w:t>Plantation establishment worker, Plantation forest officer, Silviculturist</w:t>
      </w:r>
    </w:p>
    <w:p w:rsidR="00327F45" w:rsidP="00327F45">
      <w:pPr>
        <w:pStyle w:val="BodyText"/>
      </w:pPr>
      <w:r w:rsidRPr="009A3C0A">
        <w:t>Licensing, legislative, regulatory, or certification requirement</w:t>
      </w:r>
      <w:r w:rsidRPr="009A3C0A">
        <w:t>s apply to this unit in some states &amp; territories at the time of publication, and may differ according to jurisdiction</w:t>
      </w:r>
    </w:p>
    <w:p w:rsidR="00000000" w:rsidRPr="009A3C0A" w:rsidP="009A3C0A">
      <w:pPr>
        <w:pStyle w:val="Heading1"/>
      </w:pPr>
      <w:bookmarkStart w:id="3" w:name="O_913988"/>
      <w:bookmarkEnd w:id="3"/>
      <w:r w:rsidRPr="009A3C0A">
        <w:t>Pre-requisite Unit</w:t>
      </w:r>
    </w:p>
    <w:p w:rsidR="00000000" w:rsidRPr="009A3C0A" w:rsidP="00327F45">
      <w:pPr>
        <w:pStyle w:val="BodyText"/>
      </w:pPr>
      <w:r w:rsidRPr="009A3C0A">
        <w:t>Nil</w:t>
      </w:r>
    </w:p>
    <w:p w:rsidR="00000000" w:rsidRPr="009A3C0A" w:rsidP="009A3C0A">
      <w:pPr>
        <w:pStyle w:val="Heading1"/>
      </w:pPr>
      <w:bookmarkStart w:id="4" w:name="O_913990"/>
      <w:bookmarkEnd w:id="4"/>
      <w:r w:rsidRPr="009A3C0A">
        <w:t>Unit Sector</w:t>
      </w:r>
    </w:p>
    <w:p w:rsidR="00000000" w:rsidRPr="009A3C0A" w:rsidP="00327F45">
      <w:pPr>
        <w:pStyle w:val="BodyText"/>
      </w:pPr>
      <w:r w:rsidRPr="009A3C0A">
        <w:t>Forest Growing and Management</w:t>
      </w:r>
    </w:p>
    <w:p w:rsidR="00000000" w:rsidRPr="009A3C0A" w:rsidP="009A3C0A">
      <w:pPr>
        <w:pStyle w:val="Heading1"/>
      </w:pPr>
      <w:bookmarkStart w:id="5" w:name="O_913991"/>
      <w:bookmarkEnd w:id="5"/>
      <w:r w:rsidRPr="009A3C0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0A" w:rsidP="009A3C0A">
            <w:pPr>
              <w:pStyle w:val="BodyText"/>
            </w:pPr>
            <w:r w:rsidRPr="009A3C0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rPr>
                <w:rStyle w:val="SpecialBold"/>
              </w:rPr>
              <w:t>PERFORMANCE CRITERIA</w:t>
            </w:r>
          </w:p>
        </w:tc>
      </w:tr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0A" w:rsidP="009A3C0A">
            <w:pPr>
              <w:pStyle w:val="BodyText"/>
            </w:pPr>
            <w:r w:rsidRPr="009A3C0A">
              <w:rPr>
                <w:rStyle w:val="Emphasis"/>
              </w:rPr>
              <w:t xml:space="preserve">Elements describe the essential </w:t>
            </w:r>
            <w:r w:rsidRPr="009A3C0A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rPr>
                <w:rStyle w:val="Emphasis"/>
              </w:rPr>
              <w:t xml:space="preserve">Performance criteria describe the performance needed to demonstrate achievement of the element. Where bold italicised text is used, further </w:t>
            </w:r>
            <w:r w:rsidRPr="009A3C0A">
              <w:rPr>
                <w:rStyle w:val="Emphasis"/>
              </w:rPr>
              <w:t>informati</w:t>
            </w:r>
            <w:r w:rsidRPr="009A3C0A">
              <w:rPr>
                <w:rStyle w:val="Emphasis"/>
              </w:rPr>
              <w:t>on is detailed in the range of conditions.</w:t>
            </w:r>
          </w:p>
        </w:tc>
      </w:tr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t>1. Prepare for sampling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0A" w:rsidP="009A3C0A">
            <w:pPr>
              <w:pStyle w:val="BodyText"/>
            </w:pPr>
            <w:r w:rsidRPr="009A3C0A">
              <w:t>1.1 Review work order and where required check with appropriate personnel.</w:t>
            </w:r>
          </w:p>
          <w:p w:rsidR="00000000" w:rsidRPr="009A3C0A" w:rsidP="009A3C0A">
            <w:pPr>
              <w:pStyle w:val="BodyText"/>
            </w:pPr>
            <w:r w:rsidRPr="009A3C0A">
              <w:t>1.2 Identify purpose and requirements for sampling from work order.</w:t>
            </w:r>
          </w:p>
          <w:p w:rsidR="00000000" w:rsidRPr="009A3C0A" w:rsidP="009A3C0A">
            <w:pPr>
              <w:pStyle w:val="BodyText"/>
            </w:pPr>
            <w:r w:rsidRPr="009A3C0A">
              <w:t>1.3 Identify sample area from map, plan or wo</w:t>
            </w:r>
            <w:r w:rsidRPr="009A3C0A">
              <w:t>rk order and interpret relationship of sample area to whole area.</w:t>
            </w:r>
          </w:p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t>1.4 Select appropriate personal protective and other equipment and check for operational effectiveness.</w:t>
            </w:r>
          </w:p>
        </w:tc>
      </w:tr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t>2. Collect data or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0A" w:rsidP="009A3C0A">
            <w:pPr>
              <w:pStyle w:val="BodyText"/>
            </w:pPr>
            <w:r w:rsidRPr="009A3C0A">
              <w:t>2.1 Mark boundaries and corners for sample area using appropriate techniques.</w:t>
            </w:r>
          </w:p>
          <w:p w:rsidR="00000000" w:rsidRPr="009A3C0A" w:rsidP="009A3C0A">
            <w:pPr>
              <w:pStyle w:val="BodyText"/>
            </w:pPr>
            <w:r w:rsidRPr="009A3C0A">
              <w:t>2.2 Re-mark unclear or obliterated markings in line with organisational procedures.</w:t>
            </w:r>
          </w:p>
          <w:p w:rsidR="00000000" w:rsidRPr="009A3C0A" w:rsidP="009A3C0A">
            <w:pPr>
              <w:pStyle w:val="BodyText"/>
            </w:pPr>
            <w:r w:rsidRPr="009A3C0A">
              <w:t>2.3 Take measurements using appropriate equipment in line with organisational procedures.</w:t>
            </w:r>
          </w:p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t xml:space="preserve">2.4 </w:t>
            </w:r>
            <w:r w:rsidRPr="009A3C0A">
              <w:t>Collect and label samples in line with work order.</w:t>
            </w:r>
          </w:p>
        </w:tc>
      </w:tr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t>3. Complete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0A" w:rsidP="009A3C0A">
            <w:pPr>
              <w:pStyle w:val="BodyText"/>
            </w:pPr>
            <w:r w:rsidRPr="009A3C0A">
              <w:t>3.1 Record collected data or samples in line with organisational procedures.</w:t>
            </w:r>
          </w:p>
          <w:p w:rsidR="00000000" w:rsidRPr="009A3C0A" w:rsidP="009A3C0A">
            <w:pPr>
              <w:pStyle w:val="BodyText"/>
            </w:pPr>
            <w:r w:rsidRPr="009A3C0A">
              <w:t>3.2 Check results and rectify omissions and errors.</w:t>
            </w:r>
          </w:p>
          <w:p w:rsidR="00000000" w:rsidRPr="009A3C0A" w:rsidP="009A3C0A">
            <w:pPr>
              <w:pStyle w:val="BodyText"/>
            </w:pPr>
            <w:r w:rsidRPr="009A3C0A">
              <w:t>3.3 Submit samples and records for assessment in line w</w:t>
            </w:r>
            <w:r w:rsidRPr="009A3C0A">
              <w:t>ith organisational procedures.</w:t>
            </w:r>
          </w:p>
        </w:tc>
      </w:tr>
    </w:tbl>
    <w:p w:rsidR="00000000" w:rsidRPr="009A3C0A" w:rsidP="009A3C0A">
      <w:pPr>
        <w:pStyle w:val="BodyText"/>
      </w:pPr>
    </w:p>
    <w:p w:rsidR="00000000" w:rsidRPr="009A3C0A" w:rsidP="009A3C0A">
      <w:pPr>
        <w:pStyle w:val="AllowPageBreak"/>
      </w:pPr>
    </w:p>
    <w:p w:rsidR="00000000" w:rsidRPr="009A3C0A" w:rsidP="009A3C0A">
      <w:pPr>
        <w:pStyle w:val="Heading1"/>
      </w:pPr>
      <w:bookmarkStart w:id="6" w:name="O_913992"/>
      <w:bookmarkEnd w:id="6"/>
      <w:r w:rsidRPr="009A3C0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t>This section describes those core and employment skills that are essential to performance and are not explicit in the performance criteria.</w:t>
            </w:r>
          </w:p>
        </w:tc>
      </w:tr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0A" w:rsidP="009A3C0A">
            <w:pPr>
              <w:pStyle w:val="ListBullet"/>
            </w:pPr>
            <w:r w:rsidRPr="009A3C0A">
              <w:t>interpret numerical data and symbols on maps</w:t>
            </w:r>
          </w:p>
          <w:p w:rsidR="00000000" w:rsidP="009A3C0A">
            <w:pPr>
              <w:pStyle w:val="ListBullet"/>
              <w:rPr>
                <w:lang w:val="en-NZ"/>
              </w:rPr>
            </w:pPr>
            <w:r w:rsidRPr="009A3C0A">
              <w:t>complete sometimes complex calculations and record numerical data involving areas, ratios, percentages, volumes, lengths and diameters</w:t>
            </w:r>
          </w:p>
        </w:tc>
      </w:tr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ListBullet"/>
              <w:rPr>
                <w:lang w:val="en-NZ"/>
              </w:rPr>
            </w:pPr>
            <w:r w:rsidRPr="009A3C0A">
              <w:t>ask open and closed probe questions and acti</w:t>
            </w:r>
            <w:r w:rsidRPr="009A3C0A">
              <w:t>vely listen to clarify contents of work orders.</w:t>
            </w:r>
          </w:p>
        </w:tc>
      </w:tr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0A" w:rsidP="009A3C0A">
            <w:pPr>
              <w:pStyle w:val="ListBullet"/>
            </w:pPr>
            <w:r w:rsidRPr="009A3C0A">
              <w:t>interpret:</w:t>
            </w:r>
          </w:p>
          <w:p w:rsidR="00000000" w:rsidRPr="009A3C0A" w:rsidP="009A3C0A">
            <w:pPr>
              <w:pStyle w:val="ListBullet"/>
            </w:pPr>
            <w:r w:rsidRPr="009A3C0A">
              <w:t>workplace health and safety and other organisational procedures</w:t>
            </w:r>
          </w:p>
          <w:p w:rsidR="00000000" w:rsidRPr="009A3C0A" w:rsidP="009A3C0A">
            <w:pPr>
              <w:pStyle w:val="ListBullet"/>
            </w:pPr>
            <w:r w:rsidRPr="009A3C0A">
              <w:t>work orders</w:t>
            </w:r>
          </w:p>
          <w:p w:rsidR="00000000" w:rsidP="009A3C0A">
            <w:pPr>
              <w:pStyle w:val="ListBullet"/>
              <w:rPr>
                <w:lang w:val="en-NZ"/>
              </w:rPr>
            </w:pPr>
            <w:r w:rsidRPr="009A3C0A">
              <w:t>site plans and maps.</w:t>
            </w:r>
          </w:p>
        </w:tc>
      </w:tr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ListBullet"/>
              <w:rPr>
                <w:lang w:val="en-NZ"/>
              </w:rPr>
            </w:pPr>
            <w:r w:rsidRPr="009A3C0A">
              <w:t>accurately label samples and complete basic routine records for data and samples.</w:t>
            </w:r>
          </w:p>
        </w:tc>
      </w:tr>
      <w:tr w:rsidTr="00327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0A">
            <w:pPr>
              <w:pStyle w:val="BodyText"/>
              <w:rPr>
                <w:lang w:val="en-NZ"/>
              </w:rPr>
            </w:pPr>
            <w:r w:rsidRPr="009A3C0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0A" w:rsidP="009A3C0A">
            <w:pPr>
              <w:pStyle w:val="ListBullet"/>
            </w:pPr>
            <w:r w:rsidRPr="009A3C0A">
              <w:t>efficiently and logically sequence the stages of preparation and sampling work using work order to guide activities.</w:t>
            </w:r>
          </w:p>
        </w:tc>
      </w:tr>
    </w:tbl>
    <w:p w:rsidR="00327F45" w:rsidP="009A3C0A">
      <w:pPr>
        <w:pStyle w:val="BodyText"/>
      </w:pPr>
    </w:p>
    <w:p w:rsidR="00327F45" w:rsidP="009A3C0A">
      <w:pPr>
        <w:pStyle w:val="BodyText"/>
      </w:pPr>
    </w:p>
    <w:p w:rsidR="00000000" w:rsidRPr="009A3C0A" w:rsidP="009A3C0A">
      <w:pPr>
        <w:pStyle w:val="Heading1"/>
      </w:pPr>
      <w:bookmarkStart w:id="7" w:name="O_913993"/>
      <w:bookmarkEnd w:id="7"/>
      <w:r w:rsidRPr="009A3C0A">
        <w:t>Range of Conditions</w:t>
      </w:r>
    </w:p>
    <w:p w:rsidR="00000000" w:rsidRPr="009A3C0A" w:rsidP="00327F45">
      <w:pPr>
        <w:pStyle w:val="BodyText"/>
      </w:pPr>
      <w:r w:rsidRPr="009A3C0A">
        <w:t>Not Applicable</w:t>
      </w:r>
    </w:p>
    <w:p w:rsidR="00000000" w:rsidRPr="009A3C0A" w:rsidP="009A3C0A">
      <w:pPr>
        <w:pStyle w:val="Heading1"/>
      </w:pPr>
      <w:bookmarkStart w:id="8" w:name="O_913994"/>
      <w:bookmarkEnd w:id="8"/>
      <w:r w:rsidRPr="009A3C0A">
        <w:t>Unit Mapping Information</w:t>
      </w:r>
    </w:p>
    <w:p w:rsidR="00000000" w:rsidRPr="009A3C0A" w:rsidP="00327F45">
      <w:pPr>
        <w:pStyle w:val="BodyText"/>
      </w:pPr>
      <w:r w:rsidRPr="009A3C0A">
        <w:t>FPIFGM2206B Collect data or samples for assessment</w:t>
      </w:r>
    </w:p>
    <w:p w:rsidR="00000000" w:rsidRPr="009A3C0A" w:rsidP="009A3C0A">
      <w:pPr>
        <w:pStyle w:val="Heading1"/>
      </w:pPr>
      <w:bookmarkStart w:id="9" w:name="O_914001"/>
      <w:bookmarkEnd w:id="9"/>
      <w:r w:rsidRPr="009A3C0A">
        <w:t>Links</w:t>
      </w:r>
    </w:p>
    <w:p w:rsidR="00000000" w:rsidRPr="009A3C0A" w:rsidP="00327F45">
      <w:pPr>
        <w:pStyle w:val="BodyText"/>
      </w:pPr>
      <w:r w:rsidRPr="009A3C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54C2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A3C0A" w:rsidP="009A3C0A"/>
    <w:sectPr w:rsidSect="009A3C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A" w:rsidRPr="00327F45" w:rsidP="00327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45" w:rsidP="009A3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F45" w:rsidP="009A3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7F45" w:rsidP="009A3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C0A" w:rsidRPr="00327F45" w:rsidP="00327F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45" w:rsidRPr="002D2AF8" w:rsidP="009A3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FWPFGM2206 Collect data or samples for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327F45" w:rsidP="009A3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006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38F2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C0A"/>
  </w:style>
  <w:style w:type="character" w:customStyle="1" w:styleId="Heading1Char">
    <w:name w:val="Heading 1 Char"/>
    <w:basedOn w:val="DefaultParagraphFont"/>
    <w:link w:val="Heading1"/>
    <w:rsid w:val="009A3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C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C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C0A"/>
    <w:rPr>
      <w:b/>
      <w:spacing w:val="0"/>
    </w:rPr>
  </w:style>
  <w:style w:type="character" w:styleId="Emphasis">
    <w:name w:val="Emphasis"/>
    <w:basedOn w:val="DefaultParagraphFont"/>
    <w:qFormat/>
    <w:rsid w:val="009A3C0A"/>
    <w:rPr>
      <w:i/>
    </w:rPr>
  </w:style>
  <w:style w:type="paragraph" w:customStyle="1" w:styleId="SuperHeading">
    <w:name w:val="SuperHeading"/>
    <w:basedOn w:val="Normal"/>
    <w:rsid w:val="009A3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C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3C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3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C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3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C0A"/>
  </w:style>
  <w:style w:type="paragraph" w:styleId="TableofFigures">
    <w:name w:val="table of figures"/>
    <w:basedOn w:val="Normal"/>
    <w:next w:val="Normal"/>
    <w:semiHidden/>
    <w:rsid w:val="009A3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C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3C0A"/>
    <w:rPr>
      <w:rFonts w:ascii="Wingdings" w:hAnsi="Wingdings"/>
    </w:rPr>
  </w:style>
  <w:style w:type="paragraph" w:customStyle="1" w:styleId="TableHeading">
    <w:name w:val="Table Heading"/>
    <w:basedOn w:val="HeadingBase"/>
    <w:rsid w:val="009A3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C0A"/>
    <w:rPr>
      <w:color w:val="0033CC"/>
      <w:u w:val="none"/>
    </w:rPr>
  </w:style>
  <w:style w:type="paragraph" w:customStyle="1" w:styleId="BodyTextRight">
    <w:name w:val="Body Text Right"/>
    <w:basedOn w:val="BodyText"/>
    <w:rsid w:val="009A3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C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C0A"/>
    <w:rPr>
      <w:sz w:val="32"/>
    </w:rPr>
  </w:style>
  <w:style w:type="paragraph" w:customStyle="1" w:styleId="HeadingProcedure">
    <w:name w:val="Heading Procedure"/>
    <w:basedOn w:val="HeadingBase"/>
    <w:next w:val="Normal"/>
    <w:rsid w:val="009A3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C0A"/>
    <w:pPr>
      <w:spacing w:before="60" w:after="60"/>
    </w:pPr>
  </w:style>
  <w:style w:type="paragraph" w:styleId="ListContinue">
    <w:name w:val="List Continue"/>
    <w:basedOn w:val="List"/>
    <w:rsid w:val="009A3C0A"/>
    <w:pPr>
      <w:ind w:firstLine="0"/>
    </w:pPr>
  </w:style>
  <w:style w:type="paragraph" w:customStyle="1" w:styleId="ListNote">
    <w:name w:val="List Note"/>
    <w:basedOn w:val="List"/>
    <w:rsid w:val="009A3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C0A"/>
    <w:rPr>
      <w:rFonts w:ascii="Courier New" w:hAnsi="Courier New"/>
    </w:rPr>
  </w:style>
  <w:style w:type="paragraph" w:customStyle="1" w:styleId="NoteBullet">
    <w:name w:val="Note Bullet"/>
    <w:basedOn w:val="Note"/>
    <w:rsid w:val="009A3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C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3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C0A"/>
    <w:rPr>
      <w:b/>
      <w:smallCaps/>
    </w:rPr>
  </w:style>
  <w:style w:type="paragraph" w:customStyle="1" w:styleId="TableListNumber">
    <w:name w:val="Table List Number"/>
    <w:basedOn w:val="ListNumber"/>
    <w:rsid w:val="009A3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C0A"/>
    <w:pPr>
      <w:numPr>
        <w:numId w:val="8"/>
      </w:numPr>
    </w:pPr>
  </w:style>
  <w:style w:type="paragraph" w:customStyle="1" w:styleId="ListAlpha2">
    <w:name w:val="List Alpha 2"/>
    <w:basedOn w:val="List2"/>
    <w:rsid w:val="009A3C0A"/>
    <w:pPr>
      <w:numPr>
        <w:numId w:val="7"/>
      </w:numPr>
    </w:pPr>
  </w:style>
  <w:style w:type="paragraph" w:styleId="List2">
    <w:name w:val="List 2"/>
    <w:basedOn w:val="BodyText"/>
    <w:rsid w:val="009A3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C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C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3C0A"/>
    <w:pPr>
      <w:numPr>
        <w:numId w:val="3"/>
      </w:numPr>
    </w:pPr>
  </w:style>
  <w:style w:type="paragraph" w:styleId="ListContinue2">
    <w:name w:val="List Continue 2"/>
    <w:basedOn w:val="List2"/>
    <w:rsid w:val="009A3C0A"/>
    <w:pPr>
      <w:ind w:firstLine="0"/>
    </w:pPr>
  </w:style>
  <w:style w:type="paragraph" w:styleId="ListContinue3">
    <w:name w:val="List Continue 3"/>
    <w:basedOn w:val="List3"/>
    <w:rsid w:val="009A3C0A"/>
    <w:pPr>
      <w:ind w:left="1021" w:firstLine="0"/>
    </w:pPr>
  </w:style>
  <w:style w:type="paragraph" w:styleId="ListContinue4">
    <w:name w:val="List Continue 4"/>
    <w:basedOn w:val="List4"/>
    <w:rsid w:val="009A3C0A"/>
    <w:pPr>
      <w:ind w:firstLine="0"/>
    </w:pPr>
  </w:style>
  <w:style w:type="paragraph" w:styleId="ListContinue5">
    <w:name w:val="List Continue 5"/>
    <w:basedOn w:val="List5"/>
    <w:rsid w:val="009A3C0A"/>
    <w:pPr>
      <w:ind w:firstLine="0"/>
    </w:pPr>
  </w:style>
  <w:style w:type="paragraph" w:styleId="ListNumber3">
    <w:name w:val="List Number 3"/>
    <w:basedOn w:val="List3"/>
    <w:rsid w:val="009A3C0A"/>
    <w:pPr>
      <w:numPr>
        <w:numId w:val="4"/>
      </w:numPr>
    </w:pPr>
  </w:style>
  <w:style w:type="paragraph" w:styleId="ListNumber4">
    <w:name w:val="List Number 4"/>
    <w:basedOn w:val="List4"/>
    <w:rsid w:val="009A3C0A"/>
    <w:pPr>
      <w:numPr>
        <w:numId w:val="5"/>
      </w:numPr>
    </w:pPr>
  </w:style>
  <w:style w:type="paragraph" w:styleId="ListNumber5">
    <w:name w:val="List Number 5"/>
    <w:basedOn w:val="List5"/>
    <w:rsid w:val="009A3C0A"/>
    <w:pPr>
      <w:numPr>
        <w:numId w:val="6"/>
      </w:numPr>
    </w:pPr>
  </w:style>
  <w:style w:type="paragraph" w:styleId="BlockText">
    <w:name w:val="Block Text"/>
    <w:basedOn w:val="Normal"/>
    <w:rsid w:val="009A3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C0A"/>
    <w:rPr>
      <w:sz w:val="16"/>
      <w:vertAlign w:val="superscript"/>
    </w:rPr>
  </w:style>
  <w:style w:type="character" w:customStyle="1" w:styleId="Symbols">
    <w:name w:val="Symbols"/>
    <w:basedOn w:val="DefaultParagraphFont"/>
    <w:rsid w:val="009A3C0A"/>
    <w:rPr>
      <w:rFonts w:ascii="Symbol" w:hAnsi="Symbol"/>
    </w:rPr>
  </w:style>
  <w:style w:type="character" w:customStyle="1" w:styleId="MenuOptions">
    <w:name w:val="Menu Options"/>
    <w:basedOn w:val="DefaultParagraphFont"/>
    <w:rsid w:val="009A3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C0A"/>
    <w:rPr>
      <w:b/>
    </w:rPr>
  </w:style>
  <w:style w:type="character" w:customStyle="1" w:styleId="Underlined">
    <w:name w:val="Underlined"/>
    <w:basedOn w:val="DefaultParagraphFont"/>
    <w:rsid w:val="009A3C0A"/>
    <w:rPr>
      <w:u w:val="single"/>
    </w:rPr>
  </w:style>
  <w:style w:type="paragraph" w:customStyle="1" w:styleId="TableBodyTextRight">
    <w:name w:val="Table Body Text Right"/>
    <w:basedOn w:val="TableBodyText"/>
    <w:rsid w:val="009A3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C0A"/>
    <w:rPr>
      <w:sz w:val="18"/>
    </w:rPr>
  </w:style>
  <w:style w:type="paragraph" w:customStyle="1" w:styleId="BodySmallRight">
    <w:name w:val="Body Small Right"/>
    <w:basedOn w:val="BodyTextRight"/>
    <w:rsid w:val="009A3C0A"/>
    <w:rPr>
      <w:sz w:val="18"/>
      <w:szCs w:val="18"/>
    </w:rPr>
  </w:style>
  <w:style w:type="paragraph" w:customStyle="1" w:styleId="MarginEdition">
    <w:name w:val="Margin Edition"/>
    <w:basedOn w:val="MarginNote"/>
    <w:rsid w:val="009A3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C0A"/>
    <w:rPr>
      <w:sz w:val="2"/>
      <w:szCs w:val="2"/>
    </w:rPr>
  </w:style>
  <w:style w:type="character" w:customStyle="1" w:styleId="Small">
    <w:name w:val="Small"/>
    <w:basedOn w:val="DefaultParagraphFont"/>
    <w:rsid w:val="009A3C0A"/>
    <w:rPr>
      <w:sz w:val="16"/>
    </w:rPr>
  </w:style>
  <w:style w:type="paragraph" w:customStyle="1" w:styleId="WideTable">
    <w:name w:val="Wide Table"/>
    <w:basedOn w:val="Normal"/>
    <w:rsid w:val="009A3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C0A"/>
  </w:style>
  <w:style w:type="paragraph" w:styleId="Quote">
    <w:name w:val="Quote"/>
    <w:basedOn w:val="Heading1"/>
    <w:link w:val="QuoteChar"/>
    <w:qFormat/>
    <w:rsid w:val="009A3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C0A"/>
    <w:pPr>
      <w:pageBreakBefore/>
    </w:pPr>
  </w:style>
  <w:style w:type="paragraph" w:customStyle="1" w:styleId="Border">
    <w:name w:val="Border"/>
    <w:basedOn w:val="Normal"/>
    <w:qFormat/>
    <w:rsid w:val="009A3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C0A"/>
    <w:rPr>
      <w:u w:val="single"/>
    </w:rPr>
  </w:style>
  <w:style w:type="character" w:customStyle="1" w:styleId="BoldandItalics">
    <w:name w:val="Bold and Italics"/>
    <w:qFormat/>
    <w:rsid w:val="009A3C0A"/>
    <w:rPr>
      <w:b/>
      <w:i/>
      <w:u w:val="none"/>
    </w:rPr>
  </w:style>
  <w:style w:type="paragraph" w:styleId="BalloonText">
    <w:name w:val="Balloon Text"/>
    <w:basedOn w:val="Normal"/>
    <w:link w:val="BalloonTextChar"/>
    <w:rsid w:val="009A3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C0A"/>
    <w:pPr>
      <w:spacing w:before="0" w:after="0"/>
    </w:pPr>
  </w:style>
  <w:style w:type="paragraph" w:customStyle="1" w:styleId="BodyTextBold">
    <w:name w:val="Body Text Bold"/>
    <w:basedOn w:val="BodyText"/>
    <w:qFormat/>
    <w:rsid w:val="009A3C0A"/>
    <w:rPr>
      <w:b/>
    </w:rPr>
  </w:style>
  <w:style w:type="character" w:styleId="Hyperlink">
    <w:name w:val="Hyperlink"/>
    <w:basedOn w:val="DefaultParagraphFont"/>
    <w:uiPriority w:val="99"/>
    <w:unhideWhenUsed/>
    <w:rsid w:val="00327F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3312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FWPFGM2206 Collect data or samples for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2021-04-29T02:29:00Z</dcterms:created>
  <dcterms:modified xsi:type="dcterms:W3CDTF">2021-04-29T02:29:00Z</dcterms:modified>
</cp:coreProperties>
</file>