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C4C" w:rsidP="00494C4C">
      <w:pPr>
        <w:pStyle w:val="Title"/>
      </w:pPr>
      <w:r>
        <w:fldChar w:fldCharType="begin"/>
      </w:r>
      <w:r>
        <w:instrText xml:space="preserve"> TITLE   \* MERGEFORMAT </w:instrText>
      </w:r>
      <w:r>
        <w:fldChar w:fldCharType="separate"/>
      </w:r>
      <w:r>
        <w:t>Assessment Requirements for FWPCOT6204 Use carbon accounting to estimate emissions</w:t>
      </w:r>
      <w:r>
        <w:fldChar w:fldCharType="end"/>
      </w:r>
    </w:p>
    <w:p w:rsidR="00494C4C" w:rsidP="00494C4C">
      <w:pPr>
        <w:pStyle w:val="Version"/>
        <w:sectPr w:rsidSect="007B4C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C28" w:rsidP="007B4C28">
      <w:pPr>
        <w:pStyle w:val="SuperHeading"/>
      </w:pPr>
      <w:r w:rsidRPr="007B4C28">
        <w:t>Assessment Requirements for FWPCOT6204 Use carbon accounting to estimate emissions</w:t>
      </w:r>
    </w:p>
    <w:p w:rsidR="00000000" w:rsidRPr="007B4C28" w:rsidP="007B4C28">
      <w:pPr>
        <w:pStyle w:val="Heading1"/>
      </w:pPr>
      <w:bookmarkStart w:id="1" w:name="O_719896"/>
      <w:bookmarkEnd w:id="1"/>
      <w:r w:rsidRPr="007B4C28">
        <w:t>Modification History</w:t>
      </w:r>
    </w:p>
    <w:tbl>
      <w:tblPr>
        <w:tblW w:w="0" w:type="auto"/>
        <w:tblCellMar>
          <w:left w:w="62" w:type="dxa"/>
          <w:right w:w="62" w:type="dxa"/>
        </w:tblCellMar>
        <w:tblLook w:val="0000"/>
      </w:tblPr>
      <w:tblGrid>
        <w:gridCol w:w="2007"/>
        <w:gridCol w:w="7189"/>
      </w:tblGrid>
      <w:tr w:rsidTr="00494C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C28" w:rsidP="007B4C28">
            <w:pPr>
              <w:pStyle w:val="BodyText"/>
            </w:pPr>
            <w:r w:rsidRPr="007B4C2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C28">
            <w:pPr>
              <w:pStyle w:val="BodyText"/>
              <w:rPr>
                <w:lang w:val="en-NZ"/>
              </w:rPr>
            </w:pPr>
            <w:r w:rsidRPr="007B4C28">
              <w:rPr>
                <w:rStyle w:val="SpecialBold"/>
              </w:rPr>
              <w:t>Comment</w:t>
            </w:r>
          </w:p>
        </w:tc>
      </w:tr>
      <w:tr w:rsidTr="00494C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C28">
            <w:pPr>
              <w:pStyle w:val="BodyText"/>
              <w:rPr>
                <w:lang w:val="en-NZ"/>
              </w:rPr>
            </w:pPr>
            <w:r w:rsidRPr="007B4C2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C28" w:rsidP="007B4C28">
            <w:pPr>
              <w:pStyle w:val="BodyText"/>
            </w:pPr>
            <w:r w:rsidRPr="007B4C28">
              <w:t>Replaces equivalent unit FPICOT6204A Use carbon accounting to estimate emissions in the workplace which was first released with FPI11 Forest and Forest Products Training Package Version 2.2.</w:t>
            </w:r>
          </w:p>
          <w:p w:rsidR="00000000" w:rsidRPr="007B4C28" w:rsidP="007B4C28">
            <w:pPr>
              <w:pStyle w:val="BodyText"/>
            </w:pPr>
            <w:r w:rsidRPr="007B4C28">
              <w:t>Assessment requirements now specify the performance and knowledge</w:t>
            </w:r>
            <w:r w:rsidRPr="007B4C28">
              <w:t xml:space="preserve"> evidence, as well as assessment conditions for this unit of competency.  These sections simplify and replace components used in the previous unit format, including ‘Required Skills and Knowledge, Evidence Guide and Range Statement’.</w:t>
            </w:r>
          </w:p>
        </w:tc>
      </w:tr>
    </w:tbl>
    <w:p w:rsidR="00000000" w:rsidRPr="007B4C28" w:rsidP="007B4C28">
      <w:pPr>
        <w:pStyle w:val="BodyText"/>
      </w:pPr>
    </w:p>
    <w:p w:rsidR="00000000" w:rsidRPr="007B4C28" w:rsidP="007B4C28">
      <w:pPr>
        <w:pStyle w:val="AllowPageBreak"/>
      </w:pPr>
    </w:p>
    <w:p w:rsidR="00000000" w:rsidRPr="007B4C28" w:rsidP="007B4C28">
      <w:pPr>
        <w:pStyle w:val="Heading1"/>
      </w:pPr>
      <w:bookmarkStart w:id="2" w:name="O_719897"/>
      <w:bookmarkEnd w:id="2"/>
      <w:r w:rsidRPr="007B4C28">
        <w:t>Per</w:t>
      </w:r>
      <w:r w:rsidRPr="007B4C28">
        <w:t>formance Evidence</w:t>
      </w:r>
    </w:p>
    <w:p w:rsidR="00000000" w:rsidRPr="007B4C28" w:rsidP="00494C4C">
      <w:pPr>
        <w:pStyle w:val="BodyText"/>
      </w:pPr>
      <w:r w:rsidRPr="007B4C28">
        <w:t>A person demonstrating competency in this unit must satisfy all of the elements, performance criteria and foundation skills of this unit, and must be able to provide evidence that they can:</w:t>
      </w:r>
    </w:p>
    <w:p w:rsidR="00000000" w:rsidRPr="007B4C28" w:rsidP="007B4C28">
      <w:pPr>
        <w:pStyle w:val="ListBullet"/>
      </w:pPr>
      <w:r w:rsidRPr="007B4C28">
        <w:t>For a given forest and wood products industry o</w:t>
      </w:r>
      <w:r w:rsidRPr="007B4C28">
        <w:t>rganisation within any sector:</w:t>
      </w:r>
    </w:p>
    <w:p w:rsidR="00000000" w:rsidRPr="007B4C28" w:rsidP="007B4C28">
      <w:pPr>
        <w:pStyle w:val="ListBullet2"/>
      </w:pPr>
      <w:r w:rsidRPr="007B4C28">
        <w:t>identify mandatory and voluntary obligations for carbon accounting</w:t>
      </w:r>
    </w:p>
    <w:p w:rsidR="00000000" w:rsidRPr="007B4C28" w:rsidP="007B4C28">
      <w:pPr>
        <w:pStyle w:val="ListBullet2"/>
      </w:pPr>
      <w:r w:rsidRPr="007B4C28">
        <w:t>define organisational objectives for participating in carbon accounting processes</w:t>
      </w:r>
    </w:p>
    <w:p w:rsidR="00000000" w:rsidRPr="007B4C28" w:rsidP="007B4C28">
      <w:pPr>
        <w:pStyle w:val="ListBullet2"/>
      </w:pPr>
      <w:r w:rsidRPr="007B4C28">
        <w:t>define boundaries for the carbon inventory</w:t>
      </w:r>
    </w:p>
    <w:p w:rsidR="00000000" w:rsidRPr="007B4C28" w:rsidP="007B4C28">
      <w:pPr>
        <w:pStyle w:val="ListBullet2"/>
      </w:pPr>
      <w:r w:rsidRPr="007B4C28">
        <w:t>select a methodology for carbon accounting calculations for emissions and offsets</w:t>
      </w:r>
    </w:p>
    <w:p w:rsidR="00000000" w:rsidRPr="007B4C28" w:rsidP="007B4C28">
      <w:pPr>
        <w:pStyle w:val="ListBullet"/>
      </w:pPr>
      <w:r w:rsidRPr="007B4C28">
        <w:t>Complete two different carbon accounting calculations for two different time periods in line with the selected methodology and include the following factors:</w:t>
      </w:r>
    </w:p>
    <w:p w:rsidR="00000000" w:rsidRPr="007B4C28" w:rsidP="007B4C28">
      <w:pPr>
        <w:pStyle w:val="ListBullet2"/>
      </w:pPr>
      <w:r w:rsidRPr="007B4C28">
        <w:t>direct greenho</w:t>
      </w:r>
      <w:r w:rsidRPr="007B4C28">
        <w:t>use gas (GHG) emissions</w:t>
      </w:r>
    </w:p>
    <w:p w:rsidR="00000000" w:rsidRPr="007B4C28" w:rsidP="007B4C28">
      <w:pPr>
        <w:pStyle w:val="ListBullet2"/>
      </w:pPr>
      <w:r w:rsidRPr="007B4C28">
        <w:t>indirect GHG emissions</w:t>
      </w:r>
    </w:p>
    <w:p w:rsidR="00000000" w:rsidRPr="007B4C28" w:rsidP="007B4C28">
      <w:pPr>
        <w:pStyle w:val="ListBullet2"/>
      </w:pPr>
      <w:r w:rsidRPr="007B4C28">
        <w:t>on-site and off-site emissions (geographical)</w:t>
      </w:r>
    </w:p>
    <w:p w:rsidR="00000000" w:rsidRPr="007B4C28" w:rsidP="007B4C28">
      <w:pPr>
        <w:pStyle w:val="ListBullet2"/>
      </w:pPr>
      <w:r w:rsidRPr="007B4C28">
        <w:t>upstream emissions</w:t>
      </w:r>
    </w:p>
    <w:p w:rsidR="00000000" w:rsidRPr="007B4C28" w:rsidP="007B4C28">
      <w:pPr>
        <w:pStyle w:val="ListBullet2"/>
      </w:pPr>
      <w:r w:rsidRPr="007B4C28">
        <w:t>downstream emissions</w:t>
      </w:r>
    </w:p>
    <w:p w:rsidR="00000000" w:rsidRPr="007B4C28" w:rsidP="007B4C28">
      <w:pPr>
        <w:pStyle w:val="ListBullet2"/>
      </w:pPr>
      <w:r w:rsidRPr="007B4C28">
        <w:t>full cycle accounting</w:t>
      </w:r>
    </w:p>
    <w:p w:rsidR="00000000" w:rsidRPr="007B4C28" w:rsidP="007B4C28">
      <w:pPr>
        <w:pStyle w:val="ListBullet2"/>
      </w:pPr>
      <w:r w:rsidRPr="007B4C28">
        <w:t>non-CO2 emissions; soil disturbance, fertilisation, biomass combustion</w:t>
      </w:r>
    </w:p>
    <w:p w:rsidR="00000000" w:rsidRPr="007B4C28" w:rsidP="007B4C28">
      <w:pPr>
        <w:pStyle w:val="BodyText"/>
      </w:pPr>
    </w:p>
    <w:p w:rsidR="00000000" w:rsidRPr="007B4C28" w:rsidP="00494C4C">
      <w:pPr>
        <w:pStyle w:val="BodyText"/>
      </w:pPr>
      <w:r w:rsidRPr="007B4C28">
        <w:t>In forest applications also c</w:t>
      </w:r>
      <w:r w:rsidRPr="007B4C28">
        <w:t>onsider the following:</w:t>
      </w:r>
    </w:p>
    <w:p w:rsidR="00000000" w:rsidRPr="007B4C28" w:rsidP="007B4C28">
      <w:pPr>
        <w:pStyle w:val="ListBullet"/>
      </w:pPr>
      <w:r w:rsidRPr="007B4C28">
        <w:t>above ground biomass</w:t>
      </w:r>
    </w:p>
    <w:p w:rsidR="00000000" w:rsidRPr="007B4C28" w:rsidP="007B4C28">
      <w:pPr>
        <w:pStyle w:val="ListBullet"/>
      </w:pPr>
      <w:r w:rsidRPr="007B4C28">
        <w:t>below ground biomass</w:t>
      </w:r>
    </w:p>
    <w:p w:rsidR="00000000" w:rsidRPr="007B4C28" w:rsidP="007B4C28">
      <w:pPr>
        <w:pStyle w:val="ListBullet"/>
      </w:pPr>
      <w:r w:rsidRPr="007B4C28">
        <w:t>dead organic matter - wood, litter</w:t>
      </w:r>
    </w:p>
    <w:p w:rsidR="00000000" w:rsidRPr="007B4C28" w:rsidP="007B4C28">
      <w:pPr>
        <w:pStyle w:val="ListBullet"/>
      </w:pPr>
      <w:r w:rsidRPr="007B4C28">
        <w:t>soil organic matter</w:t>
      </w:r>
    </w:p>
    <w:p w:rsidR="00000000" w:rsidRPr="007B4C28" w:rsidP="007B4C28">
      <w:pPr>
        <w:pStyle w:val="AllowPageBreak"/>
      </w:pPr>
    </w:p>
    <w:p w:rsidR="00000000" w:rsidRPr="007B4C28" w:rsidP="007B4C28">
      <w:pPr>
        <w:pStyle w:val="Heading1"/>
      </w:pPr>
      <w:bookmarkStart w:id="3" w:name="O_719898"/>
      <w:bookmarkEnd w:id="3"/>
      <w:r w:rsidRPr="007B4C28">
        <w:t>Knowledge Evidence</w:t>
      </w:r>
    </w:p>
    <w:p w:rsidR="00000000" w:rsidRPr="007B4C28" w:rsidP="00494C4C">
      <w:pPr>
        <w:pStyle w:val="BodyText"/>
      </w:pPr>
      <w:r w:rsidRPr="007B4C28">
        <w:t>A person competent in this unit must be able to demonstrate knowledge of:</w:t>
      </w:r>
    </w:p>
    <w:p w:rsidR="00000000" w:rsidRPr="007B4C28" w:rsidP="007B4C28">
      <w:pPr>
        <w:pStyle w:val="ListBullet"/>
      </w:pPr>
      <w:r w:rsidRPr="007B4C28">
        <w:t>Methods to access, locate and select applicable objectives and key content in relevant international and national conventions, protocols, standards and guidance frameworks, including the following key references:</w:t>
      </w:r>
    </w:p>
    <w:p w:rsidR="00000000" w:rsidRPr="007B4C28" w:rsidP="007B4C28">
      <w:pPr>
        <w:pStyle w:val="ListBullet2"/>
      </w:pPr>
      <w:r w:rsidRPr="007B4C28">
        <w:t>Kyoto Protocol</w:t>
      </w:r>
    </w:p>
    <w:p w:rsidR="00000000" w:rsidRPr="007B4C28" w:rsidP="007B4C28">
      <w:pPr>
        <w:pStyle w:val="ListBullet2"/>
      </w:pPr>
      <w:r w:rsidRPr="007B4C28">
        <w:t>ISO 14000 essentials:</w:t>
      </w:r>
    </w:p>
    <w:p w:rsidR="00000000" w:rsidRPr="007B4C28" w:rsidP="007B4C28">
      <w:pPr>
        <w:pStyle w:val="ListBullet3"/>
      </w:pPr>
      <w:r w:rsidRPr="007B4C28">
        <w:t xml:space="preserve">ISO </w:t>
      </w:r>
      <w:r w:rsidRPr="007B4C28">
        <w:t>14064-1 2006 Greenhouse gases</w:t>
      </w:r>
      <w:r>
        <w:t>—</w:t>
      </w:r>
      <w:r w:rsidRPr="007B4C28">
        <w:t>Part 1: Specification with guidance at the organization level for quantification and reporting of greenhouse gas emissions and removals</w:t>
      </w:r>
    </w:p>
    <w:p w:rsidR="00000000" w:rsidRPr="007B4C28" w:rsidP="007B4C28">
      <w:pPr>
        <w:pStyle w:val="ListBullet2"/>
      </w:pPr>
      <w:r w:rsidRPr="007B4C28">
        <w:t>Greenhouse Gas Protocol Corporate Standard</w:t>
      </w:r>
    </w:p>
    <w:p w:rsidR="00000000" w:rsidRPr="007B4C28" w:rsidP="007B4C28">
      <w:pPr>
        <w:pStyle w:val="ListBullet2"/>
      </w:pPr>
      <w:r w:rsidRPr="007B4C28">
        <w:t>Copenhagen Agreement</w:t>
      </w:r>
    </w:p>
    <w:p w:rsidR="00000000" w:rsidRPr="007B4C28" w:rsidP="007B4C28">
      <w:pPr>
        <w:pStyle w:val="ListBullet2"/>
      </w:pPr>
      <w:r w:rsidRPr="007B4C28">
        <w:t>National Greenhouse Accounts (NGA) Factors Workbook</w:t>
      </w:r>
    </w:p>
    <w:p w:rsidR="00000000" w:rsidRPr="007B4C28" w:rsidP="007B4C28">
      <w:pPr>
        <w:pStyle w:val="ListBullet"/>
      </w:pPr>
      <w:r w:rsidRPr="007B4C28">
        <w:t>Key drivers for carbon accounting</w:t>
      </w:r>
    </w:p>
    <w:p w:rsidR="00000000" w:rsidRPr="007B4C28" w:rsidP="007B4C28">
      <w:pPr>
        <w:pStyle w:val="ListBullet"/>
      </w:pPr>
      <w:r w:rsidRPr="007B4C28">
        <w:t>Basic theory of the greenhouse effect and its impacts</w:t>
      </w:r>
    </w:p>
    <w:p w:rsidR="00000000" w:rsidRPr="007B4C28" w:rsidP="007B4C28">
      <w:pPr>
        <w:pStyle w:val="ListBullet"/>
      </w:pPr>
      <w:r w:rsidRPr="007B4C28">
        <w:t>Basic principles of the carbon cycle and influences</w:t>
      </w:r>
    </w:p>
    <w:p w:rsidR="00000000" w:rsidRPr="007B4C28" w:rsidP="007B4C28">
      <w:pPr>
        <w:pStyle w:val="ListBullet"/>
      </w:pPr>
      <w:r w:rsidRPr="007B4C28">
        <w:t>Carbon accounting terminology, frameworks and methods used to c</w:t>
      </w:r>
      <w:r w:rsidRPr="007B4C28">
        <w:t xml:space="preserve">alculate carbon emissions and offsets </w:t>
      </w:r>
    </w:p>
    <w:p w:rsidR="00000000" w:rsidRPr="007B4C28" w:rsidP="007B4C28">
      <w:pPr>
        <w:pStyle w:val="ListBullet"/>
      </w:pPr>
      <w:r w:rsidRPr="007B4C28">
        <w:t>Types of emissions and offset sources included in common calculations:</w:t>
      </w:r>
    </w:p>
    <w:p w:rsidR="00000000" w:rsidRPr="007B4C28" w:rsidP="007B4C28">
      <w:pPr>
        <w:pStyle w:val="ListBullet2"/>
      </w:pPr>
      <w:r w:rsidRPr="007B4C28">
        <w:t>Direct GHG emissions</w:t>
      </w:r>
    </w:p>
    <w:p w:rsidR="00000000" w:rsidRPr="007B4C28" w:rsidP="007B4C28">
      <w:pPr>
        <w:pStyle w:val="ListBullet2"/>
      </w:pPr>
      <w:r w:rsidRPr="007B4C28">
        <w:t>Indirect GHG emissions</w:t>
      </w:r>
    </w:p>
    <w:p w:rsidR="00000000" w:rsidRPr="007B4C28" w:rsidP="007B4C28">
      <w:pPr>
        <w:pStyle w:val="ListBullet2"/>
      </w:pPr>
      <w:r w:rsidRPr="007B4C28">
        <w:t>On-site and off-site emissions (geographical)</w:t>
      </w:r>
    </w:p>
    <w:p w:rsidR="00000000" w:rsidRPr="007B4C28" w:rsidP="007B4C28">
      <w:pPr>
        <w:pStyle w:val="ListBullet2"/>
      </w:pPr>
      <w:r w:rsidRPr="007B4C28">
        <w:t>Upstream emissions</w:t>
      </w:r>
    </w:p>
    <w:p w:rsidR="00000000" w:rsidRPr="007B4C28" w:rsidP="007B4C28">
      <w:pPr>
        <w:pStyle w:val="ListBullet2"/>
      </w:pPr>
      <w:r w:rsidRPr="007B4C28">
        <w:t>Downstream emissions</w:t>
      </w:r>
    </w:p>
    <w:p w:rsidR="00000000" w:rsidRPr="007B4C28" w:rsidP="007B4C28">
      <w:pPr>
        <w:pStyle w:val="ListBullet2"/>
      </w:pPr>
      <w:r w:rsidRPr="007B4C28">
        <w:t>Full cycle accounting</w:t>
      </w:r>
    </w:p>
    <w:p w:rsidR="00000000" w:rsidRPr="007B4C28" w:rsidP="007B4C28">
      <w:pPr>
        <w:pStyle w:val="ListBullet2"/>
      </w:pPr>
      <w:r w:rsidRPr="007B4C28">
        <w:t>Non-CO2 emissions; soil disturbance, fertilisation, biomass combustion</w:t>
      </w:r>
    </w:p>
    <w:p w:rsidR="00000000" w:rsidRPr="007B4C28" w:rsidP="007B4C28">
      <w:pPr>
        <w:pStyle w:val="ListBullet"/>
      </w:pPr>
      <w:r w:rsidRPr="007B4C28">
        <w:t>Sources of secondary data for carbon accounting</w:t>
      </w:r>
    </w:p>
    <w:p w:rsidR="00000000" w:rsidRPr="007B4C28" w:rsidP="007B4C28">
      <w:pPr>
        <w:pStyle w:val="ListBullet2"/>
      </w:pPr>
      <w:r w:rsidRPr="007B4C28">
        <w:t>national statistical agencies</w:t>
      </w:r>
    </w:p>
    <w:p w:rsidR="00000000" w:rsidRPr="007B4C28" w:rsidP="007B4C28">
      <w:pPr>
        <w:pStyle w:val="ListBullet2"/>
      </w:pPr>
      <w:r w:rsidRPr="007B4C28">
        <w:t>research institutes</w:t>
      </w:r>
    </w:p>
    <w:p w:rsidR="00000000" w:rsidRPr="007B4C28" w:rsidP="007B4C28">
      <w:pPr>
        <w:pStyle w:val="ListBullet2"/>
      </w:pPr>
      <w:r w:rsidRPr="007B4C28">
        <w:t>information from sectoral experts</w:t>
      </w:r>
    </w:p>
    <w:p w:rsidR="00000000" w:rsidRPr="007B4C28" w:rsidP="007B4C28">
      <w:pPr>
        <w:pStyle w:val="ListBullet"/>
      </w:pPr>
      <w:r w:rsidRPr="007B4C28">
        <w:t>Organisational and operation</w:t>
      </w:r>
      <w:r w:rsidRPr="007B4C28">
        <w:t>al boundaries for the carbon inventory</w:t>
      </w:r>
    </w:p>
    <w:p w:rsidR="00000000" w:rsidRPr="007B4C28" w:rsidP="007B4C28">
      <w:pPr>
        <w:pStyle w:val="ListBullet"/>
      </w:pPr>
      <w:r w:rsidRPr="007B4C28">
        <w:t>The full range of organisational emission sources and methods used to select key emission factors for calculations.</w:t>
      </w:r>
    </w:p>
    <w:p w:rsidR="00000000" w:rsidRPr="007B4C28" w:rsidP="007B4C28">
      <w:pPr>
        <w:pStyle w:val="AllowPageBreak"/>
      </w:pPr>
    </w:p>
    <w:p w:rsidR="00000000" w:rsidRPr="007B4C28" w:rsidP="007B4C28">
      <w:pPr>
        <w:pStyle w:val="Heading1"/>
      </w:pPr>
      <w:bookmarkStart w:id="4" w:name="O_719899"/>
      <w:bookmarkEnd w:id="4"/>
      <w:r w:rsidRPr="007B4C28">
        <w:t>Assessment Conditions</w:t>
      </w:r>
    </w:p>
    <w:p w:rsidR="00000000" w:rsidRPr="007B4C28" w:rsidP="00494C4C">
      <w:pPr>
        <w:pStyle w:val="BodyText"/>
      </w:pPr>
      <w:r w:rsidRPr="007B4C28">
        <w:t>The following resources must be made available:</w:t>
      </w:r>
    </w:p>
    <w:p w:rsidR="00000000" w:rsidRPr="007B4C28" w:rsidP="007B4C28">
      <w:pPr>
        <w:pStyle w:val="ListBullet"/>
      </w:pPr>
      <w:r w:rsidRPr="007B4C28">
        <w:t>Computer, keyboard and spreadsheet software to prepare and maintain calculations</w:t>
      </w:r>
    </w:p>
    <w:p w:rsidR="00000000" w:rsidRPr="007B4C28" w:rsidP="007B4C28">
      <w:pPr>
        <w:pStyle w:val="ListBullet"/>
      </w:pPr>
      <w:r w:rsidRPr="007B4C28">
        <w:t>Documents, spreadsheets and commonly used proformas for calculating carbon emissions</w:t>
      </w:r>
    </w:p>
    <w:p w:rsidR="00000000" w:rsidRPr="007B4C28" w:rsidP="007B4C28">
      <w:pPr>
        <w:pStyle w:val="ListBullet"/>
      </w:pPr>
      <w:r w:rsidRPr="007B4C28">
        <w:t>Access to international and national conventions, protocols, standards and guidance framew</w:t>
      </w:r>
      <w:r w:rsidRPr="007B4C28">
        <w:t>orks  including the following key references:</w:t>
      </w:r>
    </w:p>
    <w:p w:rsidR="00000000" w:rsidRPr="007B4C28" w:rsidP="007B4C28">
      <w:pPr>
        <w:pStyle w:val="ListBullet2"/>
      </w:pPr>
      <w:r w:rsidRPr="007B4C28">
        <w:t>Kyoto Protocol</w:t>
      </w:r>
    </w:p>
    <w:p w:rsidR="00000000" w:rsidRPr="007B4C28" w:rsidP="007B4C28">
      <w:pPr>
        <w:pStyle w:val="ListBullet2"/>
      </w:pPr>
      <w:r w:rsidRPr="007B4C28">
        <w:t>ISO 14000 essentials:</w:t>
      </w:r>
    </w:p>
    <w:p w:rsidR="00000000" w:rsidRPr="007B4C28" w:rsidP="007B4C28">
      <w:pPr>
        <w:pStyle w:val="ListBullet3"/>
      </w:pPr>
      <w:r w:rsidRPr="007B4C28">
        <w:t>ISO 14064-1 2006 Greenhouse gases</w:t>
      </w:r>
      <w:r>
        <w:t>—</w:t>
      </w:r>
      <w:r w:rsidRPr="007B4C28">
        <w:t>Part 1: Specification with guidance at the organization level for quantification and reporting of greenhouse gas emissions and removal</w:t>
      </w:r>
      <w:r w:rsidRPr="007B4C28">
        <w:t>s</w:t>
      </w:r>
    </w:p>
    <w:p w:rsidR="00000000" w:rsidRPr="007B4C28" w:rsidP="007B4C28">
      <w:pPr>
        <w:pStyle w:val="ListBullet2"/>
      </w:pPr>
      <w:r w:rsidRPr="007B4C28">
        <w:t>Greenhouse Gas Protocol Corporate Standard</w:t>
      </w:r>
    </w:p>
    <w:p w:rsidR="00000000" w:rsidRPr="007B4C28" w:rsidP="007B4C28">
      <w:pPr>
        <w:pStyle w:val="ListBullet2"/>
      </w:pPr>
      <w:r w:rsidRPr="007B4C28">
        <w:t>Copenhagen Agreement</w:t>
      </w:r>
    </w:p>
    <w:p w:rsidR="00000000" w:rsidRPr="007B4C28" w:rsidP="007B4C28">
      <w:pPr>
        <w:pStyle w:val="ListBullet2"/>
      </w:pPr>
      <w:r w:rsidRPr="007B4C28">
        <w:t>National Greenhouse Accounts (NGA) Factors Workbook</w:t>
      </w:r>
    </w:p>
    <w:p w:rsidR="00000000" w:rsidRPr="007B4C28" w:rsidP="007B4C28">
      <w:pPr>
        <w:pStyle w:val="BodyText"/>
      </w:pPr>
    </w:p>
    <w:p w:rsidR="00000000" w:rsidRPr="007B4C28" w:rsidP="00494C4C">
      <w:pPr>
        <w:pStyle w:val="BodyText"/>
      </w:pPr>
      <w:r w:rsidRPr="007B4C28">
        <w:t xml:space="preserve">Competency is to be assessed in the workplace or a simulated environment that accurately reflects performance in a real workplace setting. </w:t>
      </w:r>
    </w:p>
    <w:p w:rsidR="00000000" w:rsidRPr="007B4C28" w:rsidP="00494C4C">
      <w:pPr>
        <w:pStyle w:val="Heading3"/>
      </w:pPr>
      <w:r w:rsidRPr="007B4C28">
        <w:rPr>
          <w:rStyle w:val="SpecialBold"/>
        </w:rPr>
        <w:t>Assessor requirements</w:t>
      </w:r>
    </w:p>
    <w:p w:rsidR="00000000" w:rsidRPr="007B4C28" w:rsidP="00494C4C">
      <w:pPr>
        <w:pStyle w:val="BodyText"/>
      </w:pPr>
      <w:r w:rsidRPr="007B4C28">
        <w:t>Assessors must:</w:t>
      </w:r>
    </w:p>
    <w:p w:rsidR="00000000" w:rsidRPr="007B4C28" w:rsidP="007B4C28">
      <w:pPr>
        <w:pStyle w:val="ListBullet"/>
      </w:pPr>
      <w:r w:rsidRPr="007B4C28">
        <w:t>Hold the appropriate assessor competency standards as outlined in regulation</w:t>
      </w:r>
      <w:r w:rsidRPr="007B4C28">
        <w:t>s; and</w:t>
      </w:r>
    </w:p>
    <w:p w:rsidR="00000000" w:rsidRPr="007B4C28" w:rsidP="007B4C28">
      <w:pPr>
        <w:pStyle w:val="ListBullet"/>
      </w:pPr>
      <w:r w:rsidRPr="007B4C28">
        <w:t>be able to demonstrate vocational competencies at least to the level being assessed; and</w:t>
      </w:r>
    </w:p>
    <w:p w:rsidR="00000000" w:rsidRPr="007B4C28" w:rsidP="007B4C28">
      <w:pPr>
        <w:pStyle w:val="ListBullet"/>
      </w:pPr>
      <w:r w:rsidRPr="007B4C28">
        <w:t>be able to demonstrate how they are continuing to develop their VET knowledge and skills as well as maintaining their industry currency and assessor competence.</w:t>
      </w:r>
    </w:p>
    <w:p w:rsidR="00000000" w:rsidRPr="007B4C28" w:rsidP="007B4C28">
      <w:pPr>
        <w:pStyle w:val="AllowPageBreak"/>
      </w:pPr>
    </w:p>
    <w:p w:rsidR="00000000" w:rsidRPr="007B4C28" w:rsidP="007B4C28">
      <w:pPr>
        <w:pStyle w:val="Heading1"/>
      </w:pPr>
      <w:bookmarkStart w:id="5" w:name="O_719902"/>
      <w:bookmarkEnd w:id="5"/>
      <w:r w:rsidRPr="007B4C28">
        <w:t>Links</w:t>
      </w:r>
    </w:p>
    <w:p w:rsidR="00000000" w:rsidRPr="007B4C28" w:rsidP="00494C4C">
      <w:pPr>
        <w:pStyle w:val="BodyText"/>
      </w:pPr>
      <w:r w:rsidRPr="007B4C2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F1A7D">
        <w:rPr>
          <w:rStyle w:val="Hyperlink"/>
        </w:rPr>
        <w:t>https://vetnet.gov.au/Pages/TrainingDocs.aspx?q=0d96fe23-5747-4c01-9d6f-3509ff8d3d47</w:t>
      </w:r>
      <w:r>
        <w:fldChar w:fldCharType="end"/>
      </w:r>
    </w:p>
    <w:p w:rsidR="00000000" w:rsidRPr="007B4C28" w:rsidP="007B4C28"/>
    <w:sectPr w:rsidSect="007B4C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28" w:rsidRPr="00494C4C" w:rsidP="00494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C4C" w:rsidP="007B4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4C4C" w:rsidP="007B4C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94C4C" w:rsidP="007B4C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C28" w:rsidRPr="00494C4C" w:rsidP="00494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C4C" w:rsidRPr="002D2AF8" w:rsidP="007B4C28">
    <w:pPr>
      <w:pStyle w:val="Header"/>
      <w:framePr w:wrap="around"/>
    </w:pPr>
    <w:r>
      <w:fldChar w:fldCharType="begin"/>
    </w:r>
    <w:r>
      <w:instrText xml:space="preserve"> TITLE   \* MERGEFORMAT </w:instrText>
    </w:r>
    <w:r>
      <w:fldChar w:fldCharType="separate"/>
    </w:r>
    <w:r>
      <w:t>Assessment Requirements for FWPCOT6204 Use carbon accounting to estimate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494C4C" w:rsidP="007B4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981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E2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68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C28"/>
    <w:pPr>
      <w:spacing w:before="360" w:after="60"/>
      <w:outlineLvl w:val="0"/>
    </w:pPr>
    <w:rPr>
      <w:sz w:val="32"/>
    </w:rPr>
  </w:style>
  <w:style w:type="paragraph" w:styleId="Heading2">
    <w:name w:val="heading 2"/>
    <w:basedOn w:val="HeadingBase"/>
    <w:next w:val="BodyText"/>
    <w:link w:val="Heading2Char"/>
    <w:qFormat/>
    <w:rsid w:val="007B4C28"/>
    <w:pPr>
      <w:keepLines/>
      <w:spacing w:before="240" w:after="120"/>
      <w:outlineLvl w:val="1"/>
    </w:pPr>
    <w:rPr>
      <w:sz w:val="28"/>
      <w:szCs w:val="40"/>
    </w:rPr>
  </w:style>
  <w:style w:type="paragraph" w:styleId="Heading3">
    <w:name w:val="heading 3"/>
    <w:basedOn w:val="HeadingBase"/>
    <w:next w:val="BodyText"/>
    <w:link w:val="Heading3Char"/>
    <w:qFormat/>
    <w:rsid w:val="007B4C28"/>
    <w:pPr>
      <w:spacing w:before="180" w:after="120"/>
      <w:outlineLvl w:val="2"/>
    </w:pPr>
    <w:rPr>
      <w:spacing w:val="-10"/>
      <w:kern w:val="32"/>
    </w:rPr>
  </w:style>
  <w:style w:type="paragraph" w:styleId="Heading4">
    <w:name w:val="heading 4"/>
    <w:basedOn w:val="HeadingBase"/>
    <w:next w:val="BodyText"/>
    <w:link w:val="Heading4Char"/>
    <w:qFormat/>
    <w:rsid w:val="007B4C28"/>
    <w:pPr>
      <w:spacing w:before="160" w:after="120"/>
      <w:outlineLvl w:val="3"/>
    </w:pPr>
    <w:rPr>
      <w:sz w:val="22"/>
    </w:rPr>
  </w:style>
  <w:style w:type="paragraph" w:styleId="Heading5">
    <w:name w:val="heading 5"/>
    <w:basedOn w:val="HeadingBase"/>
    <w:next w:val="Normal"/>
    <w:link w:val="Heading5Char"/>
    <w:qFormat/>
    <w:rsid w:val="007B4C28"/>
    <w:pPr>
      <w:spacing w:before="80"/>
      <w:outlineLvl w:val="4"/>
    </w:pPr>
    <w:rPr>
      <w:color w:val="918585"/>
      <w:sz w:val="20"/>
    </w:rPr>
  </w:style>
  <w:style w:type="paragraph" w:styleId="Heading6">
    <w:name w:val="heading 6"/>
    <w:basedOn w:val="HeadingBase"/>
    <w:next w:val="Normal"/>
    <w:link w:val="Heading6Char"/>
    <w:qFormat/>
    <w:rsid w:val="007B4C28"/>
    <w:pPr>
      <w:spacing w:before="60"/>
      <w:outlineLvl w:val="5"/>
    </w:pPr>
    <w:rPr>
      <w:color w:val="918585"/>
      <w:sz w:val="20"/>
    </w:rPr>
  </w:style>
  <w:style w:type="paragraph" w:styleId="Heading7">
    <w:name w:val="heading 7"/>
    <w:basedOn w:val="Normal"/>
    <w:next w:val="Normal"/>
    <w:link w:val="Heading7Char"/>
    <w:qFormat/>
    <w:rsid w:val="007B4C28"/>
    <w:pPr>
      <w:ind w:left="720"/>
      <w:outlineLvl w:val="6"/>
    </w:pPr>
    <w:rPr>
      <w:i/>
    </w:rPr>
  </w:style>
  <w:style w:type="paragraph" w:styleId="Heading8">
    <w:name w:val="heading 8"/>
    <w:basedOn w:val="Normal"/>
    <w:next w:val="Normal"/>
    <w:link w:val="Heading8Char"/>
    <w:qFormat/>
    <w:rsid w:val="007B4C28"/>
    <w:pPr>
      <w:ind w:left="720"/>
      <w:outlineLvl w:val="7"/>
    </w:pPr>
    <w:rPr>
      <w:i/>
    </w:rPr>
  </w:style>
  <w:style w:type="paragraph" w:styleId="Heading9">
    <w:name w:val="heading 9"/>
    <w:basedOn w:val="Normal"/>
    <w:next w:val="Normal"/>
    <w:link w:val="Heading9Char"/>
    <w:qFormat/>
    <w:rsid w:val="007B4C28"/>
    <w:pPr>
      <w:ind w:left="720"/>
      <w:outlineLvl w:val="8"/>
    </w:pPr>
    <w:rPr>
      <w:i/>
    </w:rPr>
  </w:style>
  <w:style w:type="character" w:default="1" w:styleId="DefaultParagraphFont">
    <w:name w:val="Default Paragraph Font"/>
    <w:uiPriority w:val="1"/>
    <w:unhideWhenUsed/>
    <w:rsid w:val="007B4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C28"/>
  </w:style>
  <w:style w:type="character" w:customStyle="1" w:styleId="Heading1Char">
    <w:name w:val="Heading 1 Char"/>
    <w:basedOn w:val="DefaultParagraphFont"/>
    <w:link w:val="Heading1"/>
    <w:rsid w:val="007B4C28"/>
    <w:rPr>
      <w:rFonts w:ascii="Times New Roman" w:eastAsia="Times New Roman" w:hAnsi="Times New Roman" w:cs="Times New Roman"/>
      <w:b/>
      <w:sz w:val="32"/>
      <w:szCs w:val="20"/>
      <w:lang w:eastAsia="en-US"/>
    </w:rPr>
  </w:style>
  <w:style w:type="paragraph" w:styleId="BodyText">
    <w:name w:val="Body Text"/>
    <w:basedOn w:val="Normal"/>
    <w:link w:val="BodyTextChar"/>
    <w:rsid w:val="007B4C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C28"/>
    <w:rPr>
      <w:rFonts w:ascii="Times New Roman" w:eastAsia="Times New Roman" w:hAnsi="Times New Roman" w:cs="Times New Roman"/>
      <w:sz w:val="24"/>
      <w:lang w:eastAsia="en-US"/>
    </w:rPr>
  </w:style>
  <w:style w:type="paragraph" w:styleId="ListBullet">
    <w:name w:val="List Bullet"/>
    <w:basedOn w:val="List"/>
    <w:rsid w:val="007B4C28"/>
    <w:pPr>
      <w:numPr>
        <w:numId w:val="13"/>
      </w:numPr>
      <w:tabs>
        <w:tab w:val="clear" w:pos="340"/>
      </w:tabs>
      <w:spacing w:before="40" w:after="40"/>
    </w:pPr>
  </w:style>
  <w:style w:type="character" w:customStyle="1" w:styleId="SpecialBold">
    <w:name w:val="Special Bold"/>
    <w:basedOn w:val="DefaultParagraphFont"/>
    <w:rsid w:val="007B4C28"/>
    <w:rPr>
      <w:b/>
      <w:spacing w:val="0"/>
    </w:rPr>
  </w:style>
  <w:style w:type="paragraph" w:styleId="ListBullet2">
    <w:name w:val="List Bullet 2"/>
    <w:basedOn w:val="List2"/>
    <w:rsid w:val="007B4C28"/>
    <w:pPr>
      <w:numPr>
        <w:numId w:val="14"/>
      </w:numPr>
      <w:tabs>
        <w:tab w:val="clear" w:pos="680"/>
      </w:tabs>
    </w:pPr>
  </w:style>
  <w:style w:type="paragraph" w:customStyle="1" w:styleId="SuperHeading">
    <w:name w:val="SuperHeading"/>
    <w:basedOn w:val="Normal"/>
    <w:rsid w:val="007B4C28"/>
    <w:pPr>
      <w:spacing w:before="240" w:after="120"/>
      <w:outlineLvl w:val="0"/>
    </w:pPr>
    <w:rPr>
      <w:rFonts w:ascii="Times New Roman" w:hAnsi="Times New Roman"/>
      <w:b/>
      <w:sz w:val="32"/>
    </w:rPr>
  </w:style>
  <w:style w:type="paragraph" w:customStyle="1" w:styleId="AllowPageBreak">
    <w:name w:val="AllowPageBreak"/>
    <w:rsid w:val="007B4C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4C28"/>
    <w:pPr>
      <w:numPr>
        <w:numId w:val="3"/>
      </w:numPr>
      <w:tabs>
        <w:tab w:val="clear" w:pos="1021"/>
      </w:tabs>
      <w:ind w:left="1037" w:hanging="357"/>
    </w:pPr>
  </w:style>
  <w:style w:type="character" w:customStyle="1" w:styleId="Heading2Char">
    <w:name w:val="Heading 2 Char"/>
    <w:basedOn w:val="DefaultParagraphFont"/>
    <w:link w:val="Heading2"/>
    <w:rsid w:val="007B4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C28"/>
    <w:rPr>
      <w:rFonts w:ascii="Courier New" w:eastAsia="Times New Roman" w:hAnsi="Courier New" w:cs="Times New Roman"/>
      <w:i/>
      <w:szCs w:val="20"/>
      <w:lang w:eastAsia="en-US"/>
    </w:rPr>
  </w:style>
  <w:style w:type="paragraph" w:customStyle="1" w:styleId="HeadingBase">
    <w:name w:val="Heading Base"/>
    <w:rsid w:val="007B4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C28"/>
    <w:pPr>
      <w:tabs>
        <w:tab w:val="right" w:leader="dot" w:pos="9072"/>
      </w:tabs>
      <w:ind w:left="567"/>
    </w:pPr>
    <w:rPr>
      <w:szCs w:val="22"/>
    </w:rPr>
  </w:style>
  <w:style w:type="paragraph" w:customStyle="1" w:styleId="TOCBase">
    <w:name w:val="TOC Base"/>
    <w:rsid w:val="007B4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C28"/>
    <w:pPr>
      <w:tabs>
        <w:tab w:val="right" w:leader="dot" w:pos="9072"/>
      </w:tabs>
      <w:spacing w:before="40" w:after="40"/>
      <w:ind w:left="284"/>
    </w:pPr>
    <w:rPr>
      <w:rFonts w:ascii="Times New Roman" w:hAnsi="Times New Roman"/>
    </w:rPr>
  </w:style>
  <w:style w:type="paragraph" w:styleId="TOC1">
    <w:name w:val="toc 1"/>
    <w:basedOn w:val="TOCBase"/>
    <w:next w:val="Normal"/>
    <w:rsid w:val="007B4C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C28"/>
    <w:rPr>
      <w:rFonts w:ascii="Times New Roman" w:eastAsia="Times New Roman" w:hAnsi="Times New Roman" w:cs="Times New Roman"/>
      <w:sz w:val="16"/>
      <w:lang w:eastAsia="en-US"/>
    </w:rPr>
  </w:style>
  <w:style w:type="paragraph" w:styleId="Title">
    <w:name w:val="Title"/>
    <w:basedOn w:val="HeadingBase"/>
    <w:link w:val="TitleChar"/>
    <w:qFormat/>
    <w:rsid w:val="007B4C28"/>
    <w:pPr>
      <w:spacing w:before="5040"/>
      <w:jc w:val="center"/>
    </w:pPr>
    <w:rPr>
      <w:sz w:val="48"/>
      <w:szCs w:val="72"/>
      <w:lang w:val="en-US"/>
    </w:rPr>
  </w:style>
  <w:style w:type="character" w:customStyle="1" w:styleId="TitleChar">
    <w:name w:val="Title Char"/>
    <w:basedOn w:val="DefaultParagraphFont"/>
    <w:link w:val="Title"/>
    <w:rsid w:val="007B4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C28"/>
    <w:pPr>
      <w:tabs>
        <w:tab w:val="left" w:pos="3600"/>
        <w:tab w:val="left" w:pos="3958"/>
      </w:tabs>
    </w:pPr>
  </w:style>
  <w:style w:type="paragraph" w:styleId="List">
    <w:name w:val="List"/>
    <w:basedOn w:val="BodyText"/>
    <w:next w:val="BodyText"/>
    <w:rsid w:val="007B4C28"/>
    <w:pPr>
      <w:tabs>
        <w:tab w:val="left" w:pos="340"/>
      </w:tabs>
      <w:spacing w:before="60" w:after="60"/>
      <w:ind w:left="340" w:hanging="340"/>
    </w:pPr>
  </w:style>
  <w:style w:type="paragraph" w:customStyle="1" w:styleId="Note">
    <w:name w:val="Note"/>
    <w:basedOn w:val="BodyText"/>
    <w:rsid w:val="007B4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C28"/>
    <w:pPr>
      <w:framePr w:wrap="auto" w:hAnchor="text" w:y="6049"/>
    </w:pPr>
    <w:rPr>
      <w:color w:val="000000"/>
      <w:sz w:val="40"/>
    </w:rPr>
  </w:style>
  <w:style w:type="paragraph" w:customStyle="1" w:styleId="TOCTitle">
    <w:name w:val="TOCTitle"/>
    <w:basedOn w:val="Heading1"/>
    <w:rsid w:val="007B4C28"/>
    <w:pPr>
      <w:spacing w:after="240"/>
      <w:jc w:val="center"/>
      <w:outlineLvl w:val="9"/>
    </w:pPr>
    <w:rPr>
      <w:caps/>
    </w:rPr>
  </w:style>
  <w:style w:type="paragraph" w:customStyle="1" w:styleId="Version">
    <w:name w:val="Version"/>
    <w:rsid w:val="007B4C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C28"/>
    <w:pPr>
      <w:keepNext w:val="0"/>
      <w:tabs>
        <w:tab w:val="right" w:pos="4176"/>
      </w:tabs>
      <w:ind w:left="198" w:hanging="198"/>
    </w:pPr>
    <w:rPr>
      <w:rFonts w:ascii="Garamond" w:hAnsi="Garamond"/>
    </w:rPr>
  </w:style>
  <w:style w:type="paragraph" w:styleId="IndexHeading">
    <w:name w:val="index heading"/>
    <w:basedOn w:val="Normal"/>
    <w:next w:val="Index1"/>
    <w:semiHidden/>
    <w:rsid w:val="007B4C28"/>
    <w:pPr>
      <w:spacing w:before="120" w:after="120"/>
    </w:pPr>
    <w:rPr>
      <w:rFonts w:ascii="Arial" w:hAnsi="Arial"/>
      <w:b/>
      <w:color w:val="918585"/>
      <w:sz w:val="24"/>
    </w:rPr>
  </w:style>
  <w:style w:type="paragraph" w:styleId="Header">
    <w:name w:val="header"/>
    <w:basedOn w:val="Normal"/>
    <w:link w:val="HeaderChar"/>
    <w:rsid w:val="007B4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C28"/>
    <w:rPr>
      <w:rFonts w:ascii="Times New Roman" w:eastAsia="Times New Roman" w:hAnsi="Times New Roman" w:cs="Times New Roman"/>
      <w:sz w:val="16"/>
      <w:szCs w:val="20"/>
      <w:lang w:val="en-GB" w:eastAsia="en-US"/>
    </w:rPr>
  </w:style>
  <w:style w:type="paragraph" w:customStyle="1" w:styleId="Chapter">
    <w:name w:val="Chapter"/>
    <w:basedOn w:val="Normal"/>
    <w:rsid w:val="007B4C28"/>
    <w:pPr>
      <w:spacing w:before="240"/>
    </w:pPr>
    <w:rPr>
      <w:rFonts w:ascii="Times New Roman" w:hAnsi="Times New Roman"/>
      <w:smallCaps/>
      <w:spacing w:val="80"/>
      <w:sz w:val="28"/>
    </w:rPr>
  </w:style>
  <w:style w:type="paragraph" w:customStyle="1" w:styleId="InChapter">
    <w:name w:val="InChapter"/>
    <w:basedOn w:val="Heading3"/>
    <w:rsid w:val="007B4C28"/>
    <w:pPr>
      <w:spacing w:after="240"/>
      <w:outlineLvl w:val="9"/>
    </w:pPr>
    <w:rPr>
      <w:noProof/>
    </w:rPr>
  </w:style>
  <w:style w:type="paragraph" w:styleId="Index2">
    <w:name w:val="index 2"/>
    <w:basedOn w:val="Normal"/>
    <w:next w:val="Normal"/>
    <w:semiHidden/>
    <w:rsid w:val="007B4C28"/>
    <w:pPr>
      <w:tabs>
        <w:tab w:val="right" w:pos="4176"/>
      </w:tabs>
      <w:ind w:left="568" w:hanging="284"/>
    </w:pPr>
    <w:rPr>
      <w:rFonts w:ascii="Garamond" w:hAnsi="Garamond"/>
    </w:rPr>
  </w:style>
  <w:style w:type="paragraph" w:customStyle="1" w:styleId="Byline">
    <w:name w:val="Byline"/>
    <w:rsid w:val="007B4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C28"/>
    <w:pPr>
      <w:tabs>
        <w:tab w:val="clear" w:pos="3600"/>
        <w:tab w:val="clear" w:pos="3958"/>
      </w:tabs>
      <w:jc w:val="right"/>
    </w:pPr>
  </w:style>
  <w:style w:type="character" w:styleId="Emphasis">
    <w:name w:val="Emphasis"/>
    <w:basedOn w:val="DefaultParagraphFont"/>
    <w:qFormat/>
    <w:rsid w:val="007B4C28"/>
    <w:rPr>
      <w:i/>
    </w:rPr>
  </w:style>
  <w:style w:type="paragraph" w:styleId="Caption">
    <w:name w:val="caption"/>
    <w:basedOn w:val="BodyText"/>
    <w:next w:val="Normal"/>
    <w:qFormat/>
    <w:rsid w:val="007B4C28"/>
    <w:pPr>
      <w:framePr w:w="2268" w:hSpace="181" w:vSpace="181" w:wrap="around" w:vAnchor="text" w:hAnchor="page" w:x="1135" w:y="285" w:anchorLock="1"/>
    </w:pPr>
    <w:rPr>
      <w:i/>
    </w:rPr>
  </w:style>
  <w:style w:type="paragraph" w:customStyle="1" w:styleId="MiniTOCTitle">
    <w:name w:val="MiniTOCTitle"/>
    <w:basedOn w:val="Heading4"/>
    <w:rsid w:val="007B4C28"/>
    <w:pPr>
      <w:spacing w:before="240"/>
      <w:outlineLvl w:val="9"/>
    </w:pPr>
    <w:rPr>
      <w:noProof/>
      <w:sz w:val="24"/>
    </w:rPr>
  </w:style>
  <w:style w:type="paragraph" w:customStyle="1" w:styleId="MiniTOCItem">
    <w:name w:val="MiniTOCItem"/>
    <w:basedOn w:val="ListBullet"/>
    <w:rsid w:val="007B4C28"/>
    <w:pPr>
      <w:numPr>
        <w:numId w:val="0"/>
      </w:numPr>
      <w:tabs>
        <w:tab w:val="right" w:leader="dot" w:pos="6521"/>
      </w:tabs>
      <w:spacing w:before="0" w:after="0"/>
    </w:pPr>
  </w:style>
  <w:style w:type="paragraph" w:customStyle="1" w:styleId="TOFTitle">
    <w:name w:val="TOFTitle"/>
    <w:basedOn w:val="TOCTitle"/>
    <w:rsid w:val="007B4C28"/>
  </w:style>
  <w:style w:type="paragraph" w:styleId="TableofFigures">
    <w:name w:val="table of figures"/>
    <w:basedOn w:val="Normal"/>
    <w:next w:val="Normal"/>
    <w:semiHidden/>
    <w:rsid w:val="007B4C28"/>
    <w:pPr>
      <w:tabs>
        <w:tab w:val="right" w:leader="dot" w:pos="9072"/>
      </w:tabs>
      <w:ind w:left="970" w:hanging="403"/>
    </w:pPr>
    <w:rPr>
      <w:rFonts w:ascii="Times New Roman" w:hAnsi="Times New Roman"/>
      <w:b/>
    </w:rPr>
  </w:style>
  <w:style w:type="paragraph" w:styleId="ListNumber">
    <w:name w:val="List Number"/>
    <w:basedOn w:val="List"/>
    <w:rsid w:val="007B4C28"/>
    <w:pPr>
      <w:numPr>
        <w:numId w:val="16"/>
      </w:numPr>
      <w:tabs>
        <w:tab w:val="clear" w:pos="340"/>
      </w:tabs>
    </w:pPr>
  </w:style>
  <w:style w:type="character" w:customStyle="1" w:styleId="WingdingSymbols">
    <w:name w:val="Wingding Symbols"/>
    <w:rsid w:val="007B4C28"/>
    <w:rPr>
      <w:rFonts w:ascii="Wingdings" w:hAnsi="Wingdings"/>
    </w:rPr>
  </w:style>
  <w:style w:type="paragraph" w:customStyle="1" w:styleId="TableHeading">
    <w:name w:val="Table Heading"/>
    <w:basedOn w:val="HeadingBase"/>
    <w:rsid w:val="007B4C28"/>
    <w:pPr>
      <w:keepLines/>
      <w:pBdr>
        <w:bottom w:val="single" w:sz="6" w:space="1" w:color="918585"/>
      </w:pBdr>
      <w:spacing w:before="240"/>
    </w:pPr>
  </w:style>
  <w:style w:type="character" w:customStyle="1" w:styleId="HotSpot">
    <w:name w:val="HotSpot"/>
    <w:rsid w:val="007B4C28"/>
    <w:rPr>
      <w:color w:val="0033CC"/>
      <w:u w:val="none"/>
    </w:rPr>
  </w:style>
  <w:style w:type="paragraph" w:customStyle="1" w:styleId="BodyTextRight">
    <w:name w:val="Body Text Right"/>
    <w:basedOn w:val="BodyText"/>
    <w:rsid w:val="007B4C28"/>
    <w:pPr>
      <w:spacing w:before="0" w:after="0"/>
      <w:jc w:val="right"/>
    </w:pPr>
  </w:style>
  <w:style w:type="paragraph" w:styleId="Index3">
    <w:name w:val="index 3"/>
    <w:basedOn w:val="ListNumber2"/>
    <w:next w:val="Normal"/>
    <w:semiHidden/>
    <w:rsid w:val="007B4C28"/>
    <w:pPr>
      <w:numPr>
        <w:numId w:val="0"/>
      </w:numPr>
      <w:tabs>
        <w:tab w:val="right" w:leader="dot" w:pos="4176"/>
      </w:tabs>
    </w:pPr>
  </w:style>
  <w:style w:type="paragraph" w:styleId="ListNumber2">
    <w:name w:val="List Number 2"/>
    <w:basedOn w:val="List2"/>
    <w:rsid w:val="007B4C28"/>
    <w:pPr>
      <w:numPr>
        <w:numId w:val="11"/>
      </w:numPr>
      <w:tabs>
        <w:tab w:val="clear" w:pos="1060"/>
      </w:tabs>
    </w:pPr>
  </w:style>
  <w:style w:type="paragraph" w:customStyle="1" w:styleId="MarginNote">
    <w:name w:val="Margin Note"/>
    <w:basedOn w:val="BodyText"/>
    <w:rsid w:val="007B4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C28"/>
    <w:rPr>
      <w:sz w:val="32"/>
    </w:rPr>
  </w:style>
  <w:style w:type="paragraph" w:customStyle="1" w:styleId="HeadingProcedure">
    <w:name w:val="Heading Procedure"/>
    <w:basedOn w:val="HeadingBase"/>
    <w:next w:val="Normal"/>
    <w:rsid w:val="007B4C28"/>
    <w:pPr>
      <w:tabs>
        <w:tab w:val="left" w:pos="0"/>
      </w:tabs>
      <w:spacing w:before="120" w:after="60"/>
    </w:pPr>
    <w:rPr>
      <w:i/>
      <w:color w:val="918585"/>
      <w:sz w:val="22"/>
    </w:rPr>
  </w:style>
  <w:style w:type="paragraph" w:customStyle="1" w:styleId="TableBodyText">
    <w:name w:val="Table Body Text"/>
    <w:basedOn w:val="BodyText"/>
    <w:rsid w:val="007B4C28"/>
    <w:pPr>
      <w:spacing w:before="60" w:after="60"/>
    </w:pPr>
  </w:style>
  <w:style w:type="paragraph" w:styleId="ListContinue">
    <w:name w:val="List Continue"/>
    <w:basedOn w:val="List"/>
    <w:rsid w:val="007B4C28"/>
    <w:pPr>
      <w:ind w:firstLine="0"/>
    </w:pPr>
  </w:style>
  <w:style w:type="paragraph" w:customStyle="1" w:styleId="ListNote">
    <w:name w:val="List Note"/>
    <w:basedOn w:val="List"/>
    <w:rsid w:val="007B4C28"/>
    <w:pPr>
      <w:pBdr>
        <w:top w:val="single" w:sz="6" w:space="2" w:color="918585"/>
        <w:bottom w:val="single" w:sz="6" w:space="2" w:color="918585"/>
      </w:pBdr>
      <w:tabs>
        <w:tab w:val="left" w:pos="1021"/>
      </w:tabs>
      <w:ind w:firstLine="0"/>
    </w:pPr>
  </w:style>
  <w:style w:type="paragraph" w:customStyle="1" w:styleId="Warning">
    <w:name w:val="Warning"/>
    <w:basedOn w:val="BodyText"/>
    <w:rsid w:val="007B4C28"/>
    <w:pPr>
      <w:shd w:val="clear" w:color="auto" w:fill="D9D9D9"/>
      <w:tabs>
        <w:tab w:val="left" w:pos="992"/>
      </w:tabs>
      <w:ind w:left="119" w:right="119"/>
    </w:pPr>
    <w:rPr>
      <w:sz w:val="20"/>
    </w:rPr>
  </w:style>
  <w:style w:type="paragraph" w:customStyle="1" w:styleId="MarginIcons">
    <w:name w:val="Margin Icons"/>
    <w:basedOn w:val="BodyText"/>
    <w:rsid w:val="007B4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C28"/>
    <w:rPr>
      <w:rFonts w:ascii="Courier New" w:hAnsi="Courier New"/>
    </w:rPr>
  </w:style>
  <w:style w:type="paragraph" w:customStyle="1" w:styleId="NoteBullet">
    <w:name w:val="Note Bullet"/>
    <w:basedOn w:val="Note"/>
    <w:rsid w:val="007B4C28"/>
    <w:pPr>
      <w:tabs>
        <w:tab w:val="clear" w:pos="680"/>
      </w:tabs>
      <w:spacing w:before="60" w:after="60"/>
    </w:pPr>
  </w:style>
  <w:style w:type="paragraph" w:customStyle="1" w:styleId="SubHeading2">
    <w:name w:val="SubHeading2"/>
    <w:basedOn w:val="HeadingBase"/>
    <w:rsid w:val="007B4C28"/>
    <w:pPr>
      <w:spacing w:before="240" w:after="60"/>
    </w:pPr>
    <w:rPr>
      <w:sz w:val="20"/>
    </w:rPr>
  </w:style>
  <w:style w:type="paragraph" w:customStyle="1" w:styleId="SubHeading1">
    <w:name w:val="SubHeading1"/>
    <w:basedOn w:val="HeadingBase"/>
    <w:rsid w:val="007B4C28"/>
    <w:pPr>
      <w:spacing w:before="240" w:after="60"/>
    </w:pPr>
    <w:rPr>
      <w:color w:val="918585"/>
      <w:sz w:val="22"/>
    </w:rPr>
  </w:style>
  <w:style w:type="paragraph" w:customStyle="1" w:styleId="SideHeading">
    <w:name w:val="Side Heading"/>
    <w:basedOn w:val="HeadingBase"/>
    <w:rsid w:val="007B4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C28"/>
    <w:pPr>
      <w:numPr>
        <w:numId w:val="12"/>
      </w:numPr>
    </w:pPr>
  </w:style>
  <w:style w:type="paragraph" w:styleId="PlainText">
    <w:name w:val="Plain Text"/>
    <w:basedOn w:val="Normal"/>
    <w:link w:val="PlainTextChar"/>
    <w:rsid w:val="007B4C28"/>
    <w:rPr>
      <w:sz w:val="20"/>
    </w:rPr>
  </w:style>
  <w:style w:type="character" w:customStyle="1" w:styleId="PlainTextChar">
    <w:name w:val="Plain Text Char"/>
    <w:basedOn w:val="DefaultParagraphFont"/>
    <w:link w:val="PlainText"/>
    <w:rsid w:val="007B4C28"/>
    <w:rPr>
      <w:rFonts w:ascii="Courier New" w:eastAsia="Times New Roman" w:hAnsi="Courier New" w:cs="Times New Roman"/>
      <w:sz w:val="20"/>
      <w:szCs w:val="20"/>
      <w:lang w:eastAsia="en-US"/>
    </w:rPr>
  </w:style>
  <w:style w:type="character" w:customStyle="1" w:styleId="MenuOption">
    <w:name w:val="Menu Option"/>
    <w:basedOn w:val="DefaultParagraphFont"/>
    <w:rsid w:val="007B4C28"/>
    <w:rPr>
      <w:b/>
      <w:smallCaps/>
    </w:rPr>
  </w:style>
  <w:style w:type="paragraph" w:customStyle="1" w:styleId="TableListNumber">
    <w:name w:val="Table List Number"/>
    <w:basedOn w:val="ListNumber"/>
    <w:rsid w:val="007B4C28"/>
    <w:pPr>
      <w:numPr>
        <w:numId w:val="0"/>
      </w:numPr>
    </w:pPr>
  </w:style>
  <w:style w:type="paragraph" w:styleId="TOC4">
    <w:name w:val="toc 4"/>
    <w:basedOn w:val="TOCBase"/>
    <w:next w:val="Normal"/>
    <w:semiHidden/>
    <w:rsid w:val="007B4C28"/>
    <w:pPr>
      <w:tabs>
        <w:tab w:val="right" w:leader="dot" w:pos="9071"/>
      </w:tabs>
      <w:ind w:left="1701"/>
    </w:pPr>
  </w:style>
  <w:style w:type="paragraph" w:customStyle="1" w:styleId="ListAlpha">
    <w:name w:val="List Alpha"/>
    <w:basedOn w:val="List"/>
    <w:rsid w:val="007B4C28"/>
    <w:pPr>
      <w:numPr>
        <w:numId w:val="10"/>
      </w:numPr>
    </w:pPr>
  </w:style>
  <w:style w:type="paragraph" w:customStyle="1" w:styleId="ListAlpha2">
    <w:name w:val="List Alpha 2"/>
    <w:basedOn w:val="List2"/>
    <w:rsid w:val="007B4C28"/>
    <w:pPr>
      <w:numPr>
        <w:numId w:val="9"/>
      </w:numPr>
    </w:pPr>
  </w:style>
  <w:style w:type="paragraph" w:styleId="List2">
    <w:name w:val="List 2"/>
    <w:basedOn w:val="BodyText"/>
    <w:rsid w:val="007B4C28"/>
    <w:pPr>
      <w:tabs>
        <w:tab w:val="left" w:pos="680"/>
      </w:tabs>
      <w:spacing w:before="60" w:after="60"/>
      <w:ind w:left="680" w:hanging="340"/>
    </w:pPr>
  </w:style>
  <w:style w:type="paragraph" w:styleId="List3">
    <w:name w:val="List 3"/>
    <w:basedOn w:val="BodyText"/>
    <w:rsid w:val="007B4C28"/>
    <w:pPr>
      <w:tabs>
        <w:tab w:val="left" w:pos="1021"/>
      </w:tabs>
      <w:spacing w:before="60" w:after="60"/>
      <w:ind w:left="1020" w:hanging="340"/>
    </w:pPr>
  </w:style>
  <w:style w:type="paragraph" w:styleId="List4">
    <w:name w:val="List 4"/>
    <w:basedOn w:val="BodyText"/>
    <w:rsid w:val="007B4C28"/>
    <w:pPr>
      <w:tabs>
        <w:tab w:val="left" w:pos="1361"/>
      </w:tabs>
      <w:spacing w:before="60" w:after="60"/>
      <w:ind w:left="1361" w:hanging="340"/>
    </w:pPr>
  </w:style>
  <w:style w:type="paragraph" w:styleId="List5">
    <w:name w:val="List 5"/>
    <w:basedOn w:val="BodyText"/>
    <w:rsid w:val="007B4C28"/>
    <w:pPr>
      <w:tabs>
        <w:tab w:val="left" w:pos="1701"/>
      </w:tabs>
      <w:spacing w:before="60" w:after="60"/>
      <w:ind w:left="1701" w:hanging="340"/>
    </w:pPr>
  </w:style>
  <w:style w:type="paragraph" w:styleId="ListBullet4">
    <w:name w:val="List Bullet 4"/>
    <w:basedOn w:val="List4"/>
    <w:rsid w:val="007B4C28"/>
    <w:pPr>
      <w:numPr>
        <w:numId w:val="4"/>
      </w:numPr>
      <w:tabs>
        <w:tab w:val="clear" w:pos="1361"/>
      </w:tabs>
    </w:pPr>
  </w:style>
  <w:style w:type="paragraph" w:styleId="ListBullet5">
    <w:name w:val="List Bullet 5"/>
    <w:basedOn w:val="List5"/>
    <w:rsid w:val="007B4C28"/>
    <w:pPr>
      <w:numPr>
        <w:numId w:val="5"/>
      </w:numPr>
    </w:pPr>
  </w:style>
  <w:style w:type="paragraph" w:styleId="ListContinue2">
    <w:name w:val="List Continue 2"/>
    <w:basedOn w:val="List2"/>
    <w:rsid w:val="007B4C28"/>
    <w:pPr>
      <w:ind w:firstLine="0"/>
    </w:pPr>
  </w:style>
  <w:style w:type="paragraph" w:styleId="ListContinue3">
    <w:name w:val="List Continue 3"/>
    <w:basedOn w:val="List3"/>
    <w:rsid w:val="007B4C28"/>
    <w:pPr>
      <w:ind w:left="1021" w:firstLine="0"/>
    </w:pPr>
  </w:style>
  <w:style w:type="paragraph" w:styleId="ListContinue4">
    <w:name w:val="List Continue 4"/>
    <w:basedOn w:val="List4"/>
    <w:rsid w:val="007B4C28"/>
    <w:pPr>
      <w:ind w:firstLine="0"/>
    </w:pPr>
  </w:style>
  <w:style w:type="paragraph" w:styleId="ListContinue5">
    <w:name w:val="List Continue 5"/>
    <w:basedOn w:val="List5"/>
    <w:rsid w:val="007B4C28"/>
    <w:pPr>
      <w:ind w:firstLine="0"/>
    </w:pPr>
  </w:style>
  <w:style w:type="paragraph" w:styleId="ListNumber3">
    <w:name w:val="List Number 3"/>
    <w:basedOn w:val="List3"/>
    <w:rsid w:val="007B4C28"/>
    <w:pPr>
      <w:numPr>
        <w:numId w:val="6"/>
      </w:numPr>
    </w:pPr>
  </w:style>
  <w:style w:type="paragraph" w:styleId="ListNumber4">
    <w:name w:val="List Number 4"/>
    <w:basedOn w:val="List4"/>
    <w:rsid w:val="007B4C28"/>
    <w:pPr>
      <w:numPr>
        <w:numId w:val="7"/>
      </w:numPr>
    </w:pPr>
  </w:style>
  <w:style w:type="paragraph" w:styleId="ListNumber5">
    <w:name w:val="List Number 5"/>
    <w:basedOn w:val="List5"/>
    <w:rsid w:val="007B4C28"/>
    <w:pPr>
      <w:numPr>
        <w:numId w:val="8"/>
      </w:numPr>
    </w:pPr>
  </w:style>
  <w:style w:type="paragraph" w:styleId="BlockText">
    <w:name w:val="Block Text"/>
    <w:basedOn w:val="Normal"/>
    <w:rsid w:val="007B4C28"/>
    <w:pPr>
      <w:spacing w:after="120"/>
      <w:ind w:left="1440" w:right="1440"/>
    </w:pPr>
  </w:style>
  <w:style w:type="character" w:customStyle="1" w:styleId="Subscript">
    <w:name w:val="Subscript"/>
    <w:basedOn w:val="DefaultParagraphFont"/>
    <w:rsid w:val="007B4C28"/>
    <w:rPr>
      <w:sz w:val="16"/>
      <w:vertAlign w:val="subscript"/>
    </w:rPr>
  </w:style>
  <w:style w:type="character" w:customStyle="1" w:styleId="Superscript">
    <w:name w:val="Superscript"/>
    <w:basedOn w:val="DefaultParagraphFont"/>
    <w:rsid w:val="007B4C28"/>
    <w:rPr>
      <w:sz w:val="16"/>
      <w:vertAlign w:val="superscript"/>
    </w:rPr>
  </w:style>
  <w:style w:type="character" w:customStyle="1" w:styleId="Symbols">
    <w:name w:val="Symbols"/>
    <w:basedOn w:val="DefaultParagraphFont"/>
    <w:rsid w:val="007B4C28"/>
    <w:rPr>
      <w:rFonts w:ascii="Symbol" w:hAnsi="Symbol"/>
    </w:rPr>
  </w:style>
  <w:style w:type="character" w:customStyle="1" w:styleId="MenuOptions">
    <w:name w:val="Menu Options"/>
    <w:basedOn w:val="DefaultParagraphFont"/>
    <w:rsid w:val="007B4C28"/>
    <w:rPr>
      <w:rFonts w:ascii="Arial Narrow" w:hAnsi="Arial Narrow"/>
      <w:smallCaps/>
    </w:rPr>
  </w:style>
  <w:style w:type="character" w:customStyle="1" w:styleId="Buttons">
    <w:name w:val="Buttons"/>
    <w:basedOn w:val="DefaultParagraphFont"/>
    <w:rsid w:val="007B4C28"/>
    <w:rPr>
      <w:b/>
    </w:rPr>
  </w:style>
  <w:style w:type="character" w:customStyle="1" w:styleId="Underlined">
    <w:name w:val="Underlined"/>
    <w:basedOn w:val="DefaultParagraphFont"/>
    <w:rsid w:val="007B4C28"/>
    <w:rPr>
      <w:u w:val="single"/>
    </w:rPr>
  </w:style>
  <w:style w:type="paragraph" w:customStyle="1" w:styleId="TableBodyTextRight">
    <w:name w:val="Table Body Text Right"/>
    <w:basedOn w:val="TableBodyText"/>
    <w:rsid w:val="007B4C28"/>
    <w:pPr>
      <w:widowControl w:val="0"/>
      <w:autoSpaceDE w:val="0"/>
      <w:autoSpaceDN w:val="0"/>
      <w:adjustRightInd w:val="0"/>
      <w:jc w:val="right"/>
    </w:pPr>
    <w:rPr>
      <w:rFonts w:cs="Arial"/>
      <w:szCs w:val="18"/>
    </w:rPr>
  </w:style>
  <w:style w:type="paragraph" w:customStyle="1" w:styleId="CopyrightText">
    <w:name w:val="Copyright Text"/>
    <w:basedOn w:val="BodyText"/>
    <w:rsid w:val="007B4C28"/>
    <w:rPr>
      <w:sz w:val="18"/>
    </w:rPr>
  </w:style>
  <w:style w:type="paragraph" w:customStyle="1" w:styleId="BodySmallRight">
    <w:name w:val="Body Small Right"/>
    <w:basedOn w:val="BodyTextRight"/>
    <w:rsid w:val="007B4C28"/>
    <w:rPr>
      <w:sz w:val="18"/>
      <w:szCs w:val="18"/>
    </w:rPr>
  </w:style>
  <w:style w:type="paragraph" w:customStyle="1" w:styleId="MarginEdition">
    <w:name w:val="Margin Edition"/>
    <w:basedOn w:val="MarginNote"/>
    <w:rsid w:val="007B4C28"/>
    <w:pPr>
      <w:spacing w:before="0" w:after="0"/>
    </w:pPr>
    <w:rPr>
      <w:rFonts w:ascii="Times New Roman" w:hAnsi="Times New Roman"/>
      <w:color w:val="999999"/>
    </w:rPr>
  </w:style>
  <w:style w:type="paragraph" w:customStyle="1" w:styleId="Spacer">
    <w:name w:val="Spacer"/>
    <w:basedOn w:val="Normal"/>
    <w:rsid w:val="007B4C28"/>
    <w:rPr>
      <w:sz w:val="2"/>
      <w:szCs w:val="2"/>
    </w:rPr>
  </w:style>
  <w:style w:type="character" w:customStyle="1" w:styleId="Small">
    <w:name w:val="Small"/>
    <w:basedOn w:val="DefaultParagraphFont"/>
    <w:rsid w:val="007B4C28"/>
    <w:rPr>
      <w:sz w:val="16"/>
    </w:rPr>
  </w:style>
  <w:style w:type="paragraph" w:customStyle="1" w:styleId="WideTable">
    <w:name w:val="Wide Table"/>
    <w:basedOn w:val="Normal"/>
    <w:rsid w:val="007B4C28"/>
    <w:pPr>
      <w:ind w:left="-1418"/>
    </w:pPr>
    <w:rPr>
      <w:sz w:val="2"/>
      <w:szCs w:val="2"/>
    </w:rPr>
  </w:style>
  <w:style w:type="character" w:styleId="PageNumber">
    <w:name w:val="page number"/>
    <w:basedOn w:val="DefaultParagraphFont"/>
    <w:rsid w:val="007B4C28"/>
  </w:style>
  <w:style w:type="paragraph" w:styleId="Quote">
    <w:name w:val="Quote"/>
    <w:basedOn w:val="Heading1"/>
    <w:link w:val="QuoteChar"/>
    <w:qFormat/>
    <w:rsid w:val="007B4C28"/>
    <w:rPr>
      <w:b w:val="0"/>
      <w:sz w:val="72"/>
      <w:szCs w:val="72"/>
      <w:lang w:val="en-NZ"/>
    </w:rPr>
  </w:style>
  <w:style w:type="character" w:customStyle="1" w:styleId="QuoteChar">
    <w:name w:val="Quote Char"/>
    <w:basedOn w:val="DefaultParagraphFont"/>
    <w:link w:val="Quote"/>
    <w:rsid w:val="007B4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C28"/>
    <w:pPr>
      <w:pageBreakBefore/>
    </w:pPr>
  </w:style>
  <w:style w:type="paragraph" w:customStyle="1" w:styleId="Border">
    <w:name w:val="Border"/>
    <w:basedOn w:val="Normal"/>
    <w:qFormat/>
    <w:rsid w:val="007B4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C28"/>
    <w:rPr>
      <w:b/>
      <w:bCs/>
      <w:i/>
      <w:iCs/>
      <w:color w:val="auto"/>
    </w:rPr>
  </w:style>
  <w:style w:type="paragraph" w:styleId="IntenseQuote">
    <w:name w:val="Intense Quote"/>
    <w:basedOn w:val="Normal"/>
    <w:next w:val="Normal"/>
    <w:link w:val="IntenseQuoteChar"/>
    <w:uiPriority w:val="30"/>
    <w:qFormat/>
    <w:rsid w:val="007B4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C28"/>
    <w:rPr>
      <w:smallCaps/>
      <w:color w:val="auto"/>
      <w:u w:val="single"/>
    </w:rPr>
  </w:style>
  <w:style w:type="character" w:styleId="IntenseReference">
    <w:name w:val="Intense Reference"/>
    <w:basedOn w:val="DefaultParagraphFont"/>
    <w:uiPriority w:val="32"/>
    <w:qFormat/>
    <w:rsid w:val="007B4C28"/>
    <w:rPr>
      <w:b/>
      <w:bCs/>
      <w:smallCaps/>
      <w:color w:val="auto"/>
      <w:spacing w:val="5"/>
      <w:u w:val="single"/>
    </w:rPr>
  </w:style>
  <w:style w:type="paragraph" w:customStyle="1" w:styleId="2ColumnHeading">
    <w:name w:val="2Column Heading"/>
    <w:basedOn w:val="BodyText"/>
    <w:qFormat/>
    <w:rsid w:val="007B4C28"/>
    <w:pPr>
      <w:spacing w:after="60"/>
      <w:ind w:left="-2268"/>
    </w:pPr>
    <w:rPr>
      <w:b/>
    </w:rPr>
  </w:style>
  <w:style w:type="paragraph" w:customStyle="1" w:styleId="Heading1TOC">
    <w:name w:val="Heading1 TOC"/>
    <w:basedOn w:val="Normal"/>
    <w:qFormat/>
    <w:rsid w:val="007B4C28"/>
    <w:pPr>
      <w:spacing w:before="240" w:after="120"/>
    </w:pPr>
    <w:rPr>
      <w:rFonts w:ascii="Times New Roman" w:hAnsi="Times New Roman"/>
      <w:b/>
      <w:sz w:val="32"/>
    </w:rPr>
  </w:style>
  <w:style w:type="paragraph" w:customStyle="1" w:styleId="Heading2TOC">
    <w:name w:val="Heading2 TOC"/>
    <w:basedOn w:val="Normal"/>
    <w:qFormat/>
    <w:rsid w:val="007B4C28"/>
    <w:pPr>
      <w:spacing w:before="240" w:after="60"/>
    </w:pPr>
    <w:rPr>
      <w:rFonts w:ascii="Times New Roman" w:hAnsi="Times New Roman"/>
      <w:b/>
      <w:sz w:val="28"/>
    </w:rPr>
  </w:style>
  <w:style w:type="character" w:customStyle="1" w:styleId="Underline">
    <w:name w:val="Underline"/>
    <w:basedOn w:val="DefaultParagraphFont"/>
    <w:qFormat/>
    <w:rsid w:val="007B4C28"/>
    <w:rPr>
      <w:u w:val="single"/>
    </w:rPr>
  </w:style>
  <w:style w:type="character" w:customStyle="1" w:styleId="BoldandItalics">
    <w:name w:val="Bold and Italics"/>
    <w:qFormat/>
    <w:rsid w:val="007B4C28"/>
    <w:rPr>
      <w:b/>
      <w:i/>
      <w:u w:val="none"/>
    </w:rPr>
  </w:style>
  <w:style w:type="paragraph" w:styleId="BalloonText">
    <w:name w:val="Balloon Text"/>
    <w:basedOn w:val="Normal"/>
    <w:link w:val="BalloonTextChar"/>
    <w:rsid w:val="007B4C28"/>
    <w:rPr>
      <w:rFonts w:ascii="Tahoma" w:hAnsi="Tahoma" w:cs="Tahoma"/>
      <w:sz w:val="16"/>
      <w:szCs w:val="16"/>
    </w:rPr>
  </w:style>
  <w:style w:type="character" w:customStyle="1" w:styleId="BalloonTextChar">
    <w:name w:val="Balloon Text Char"/>
    <w:basedOn w:val="DefaultParagraphFont"/>
    <w:link w:val="BalloonText"/>
    <w:rsid w:val="007B4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C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C28"/>
    <w:rPr>
      <w:b/>
      <w:color w:val="660033"/>
      <w:spacing w:val="0"/>
    </w:rPr>
  </w:style>
  <w:style w:type="paragraph" w:customStyle="1" w:styleId="Nameditemlist">
    <w:name w:val="Named item list"/>
    <w:basedOn w:val="BodyText"/>
    <w:qFormat/>
    <w:rsid w:val="007B4C28"/>
    <w:pPr>
      <w:tabs>
        <w:tab w:val="left" w:pos="2835"/>
      </w:tabs>
      <w:ind w:left="2835" w:hanging="2835"/>
    </w:pPr>
  </w:style>
  <w:style w:type="paragraph" w:customStyle="1" w:styleId="BodyTextnopadding">
    <w:name w:val="Body Text no padding"/>
    <w:basedOn w:val="BodyText"/>
    <w:qFormat/>
    <w:rsid w:val="007B4C28"/>
    <w:pPr>
      <w:spacing w:before="0" w:after="0"/>
    </w:pPr>
  </w:style>
  <w:style w:type="paragraph" w:customStyle="1" w:styleId="BodyTextBold">
    <w:name w:val="Body Text Bold"/>
    <w:basedOn w:val="BodyText"/>
    <w:qFormat/>
    <w:rsid w:val="007B4C28"/>
    <w:rPr>
      <w:b/>
    </w:rPr>
  </w:style>
  <w:style w:type="character" w:styleId="Hyperlink">
    <w:name w:val="Hyperlink"/>
    <w:basedOn w:val="DefaultParagraphFont"/>
    <w:uiPriority w:val="99"/>
    <w:unhideWhenUsed/>
    <w:rsid w:val="00494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4203</Characters>
  <Application>Microsoft Office Word</Application>
  <DocSecurity>0</DocSecurity>
  <Lines>110</Lines>
  <Paragraphs>87</Paragraphs>
  <ScaleCrop>false</ScaleCrop>
  <Company>Author-it Software Corporation Ltd.</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FWPCOT6204 Use carbon accounting to estimate emissions</dc:title>
  <dc:subject>Approved</dc:subject>
  <dc:creator>Skills Impact</dc:creator>
  <cp:keywords>Release: 1</cp:keywords>
  <dc:description>Review Date: 12 April 2008</dc:description>
  <cp:lastModifiedBy>HSD_TPCMSd.prod</cp:lastModifiedBy>
  <cp:revision>3</cp:revision>
  <dcterms:created xsi:type="dcterms:W3CDTF">2023-01-24T16:04:00Z</dcterms:created>
  <dcterms:modified xsi:type="dcterms:W3CDTF">2023-01-24T16:04:00Z</dcterms:modified>
</cp:coreProperties>
</file>