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194" w:rsidP="009851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FWPCOT6201 Manage community engagement</w:t>
      </w:r>
      <w:r>
        <w:fldChar w:fldCharType="end"/>
      </w:r>
    </w:p>
    <w:p w:rsidR="00985194" w:rsidP="00985194">
      <w:pPr>
        <w:pStyle w:val="Version"/>
        <w:sectPr w:rsidSect="008928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287A" w:rsidP="0089287A">
      <w:pPr>
        <w:pStyle w:val="SuperHeading"/>
      </w:pPr>
      <w:r w:rsidRPr="0089287A">
        <w:t>Assessment Requirements for FWPCOT6201 Manage community engagement</w:t>
      </w:r>
    </w:p>
    <w:p w:rsidR="00000000" w:rsidRPr="0089287A" w:rsidP="0089287A">
      <w:pPr>
        <w:pStyle w:val="Heading1"/>
      </w:pPr>
      <w:bookmarkStart w:id="1" w:name="O_719839"/>
      <w:bookmarkEnd w:id="1"/>
      <w:r w:rsidRPr="0089287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851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87A" w:rsidP="0089287A">
            <w:pPr>
              <w:pStyle w:val="BodyText"/>
            </w:pPr>
            <w:r w:rsidRPr="0089287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87A">
            <w:pPr>
              <w:pStyle w:val="BodyText"/>
              <w:rPr>
                <w:lang w:val="en-NZ"/>
              </w:rPr>
            </w:pPr>
            <w:r w:rsidRPr="0089287A">
              <w:rPr>
                <w:rStyle w:val="SpecialBold"/>
              </w:rPr>
              <w:t>Comment</w:t>
            </w:r>
          </w:p>
        </w:tc>
      </w:tr>
      <w:tr w:rsidTr="009851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87A">
            <w:pPr>
              <w:pStyle w:val="BodyText"/>
              <w:rPr>
                <w:lang w:val="en-NZ"/>
              </w:rPr>
            </w:pPr>
            <w:r w:rsidRPr="0089287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87A" w:rsidP="0089287A">
            <w:pPr>
              <w:pStyle w:val="BodyText"/>
            </w:pPr>
            <w:r w:rsidRPr="0089287A">
              <w:t>Replaces equivalent unit FPICOT6201B Manage community engagement which was first released with FPI11 Forest and Forest Products Training Package Version 2.2.</w:t>
            </w:r>
          </w:p>
          <w:p w:rsidR="00000000" w:rsidRPr="0089287A" w:rsidP="0089287A">
            <w:pPr>
              <w:pStyle w:val="BodyText"/>
            </w:pPr>
            <w:r w:rsidRPr="0089287A">
              <w:t xml:space="preserve">Assessment requirements now specify the performance and knowledge evidence, as well as assessment </w:t>
            </w:r>
            <w:r w:rsidRPr="0089287A">
              <w:t>conditions for this unit of competency.  These sections simplify and replace components used in the previous unit format, including ‘Required Skills and Knowledge, Evidence Guide and Range Statement’.</w:t>
            </w:r>
          </w:p>
        </w:tc>
      </w:tr>
    </w:tbl>
    <w:p w:rsidR="00000000" w:rsidRPr="0089287A" w:rsidP="0089287A">
      <w:pPr>
        <w:pStyle w:val="BodyText"/>
      </w:pPr>
    </w:p>
    <w:p w:rsidR="00000000" w:rsidRPr="0089287A" w:rsidP="0089287A">
      <w:pPr>
        <w:pStyle w:val="AllowPageBreak"/>
      </w:pPr>
    </w:p>
    <w:p w:rsidR="00000000" w:rsidRPr="0089287A" w:rsidP="0089287A">
      <w:pPr>
        <w:pStyle w:val="Heading1"/>
      </w:pPr>
      <w:bookmarkStart w:id="2" w:name="O_719840"/>
      <w:bookmarkEnd w:id="2"/>
      <w:r w:rsidRPr="0089287A">
        <w:t>Performance Evidence</w:t>
      </w:r>
    </w:p>
    <w:p w:rsidR="00000000" w:rsidRPr="0089287A" w:rsidP="00985194">
      <w:pPr>
        <w:pStyle w:val="BodyText"/>
      </w:pPr>
      <w:r w:rsidRPr="0089287A">
        <w:t>A person demons</w:t>
      </w:r>
      <w:r w:rsidRPr="0089287A">
        <w:t>trating competency in this unit must satisfy all of the elements, performance criteria and foundation skills of this unit, and must be able to provide evidence that they can:</w:t>
      </w:r>
    </w:p>
    <w:p w:rsidR="00000000" w:rsidRPr="0089287A" w:rsidP="0089287A">
      <w:pPr>
        <w:pStyle w:val="ListBullet"/>
      </w:pPr>
      <w:r w:rsidRPr="0089287A">
        <w:t>Determine and report on:</w:t>
      </w:r>
    </w:p>
    <w:p w:rsidR="00000000" w:rsidRPr="0089287A" w:rsidP="0089287A">
      <w:pPr>
        <w:pStyle w:val="ListBullet2"/>
      </w:pPr>
      <w:r w:rsidRPr="0089287A">
        <w:t>local community characteristics and demographics</w:t>
      </w:r>
    </w:p>
    <w:p w:rsidR="00000000" w:rsidRPr="0089287A" w:rsidP="0089287A">
      <w:pPr>
        <w:pStyle w:val="ListBullet2"/>
      </w:pPr>
      <w:r w:rsidRPr="0089287A">
        <w:t>key community perceptions and concerns with organisational practice</w:t>
      </w:r>
    </w:p>
    <w:p w:rsidR="00000000" w:rsidRPr="0089287A" w:rsidP="0089287A">
      <w:pPr>
        <w:pStyle w:val="ListBullet2"/>
      </w:pPr>
      <w:r w:rsidRPr="0089287A">
        <w:t>organisational issues requiring community engagement</w:t>
      </w:r>
    </w:p>
    <w:p w:rsidR="00000000" w:rsidRPr="0089287A" w:rsidP="0089287A">
      <w:pPr>
        <w:pStyle w:val="ListBullet2"/>
      </w:pPr>
      <w:r w:rsidRPr="0089287A">
        <w:t>range of benefits of engaging community in consultation processes</w:t>
      </w:r>
    </w:p>
    <w:p w:rsidR="00000000" w:rsidRPr="0089287A" w:rsidP="0089287A">
      <w:pPr>
        <w:pStyle w:val="ListBullet2"/>
      </w:pPr>
      <w:r w:rsidRPr="0089287A">
        <w:t>organisational opportunities for community engagement</w:t>
      </w:r>
    </w:p>
    <w:p w:rsidR="00000000" w:rsidRPr="0089287A" w:rsidP="0089287A">
      <w:pPr>
        <w:pStyle w:val="ListBullet2"/>
      </w:pPr>
      <w:r w:rsidRPr="0089287A">
        <w:t>constraints and</w:t>
      </w:r>
      <w:r w:rsidRPr="0089287A">
        <w:t xml:space="preserve"> barriers to community engagement.</w:t>
      </w:r>
    </w:p>
    <w:p w:rsidR="00000000" w:rsidRPr="0089287A" w:rsidP="0089287A">
      <w:pPr>
        <w:pStyle w:val="ListBullet"/>
      </w:pPr>
      <w:r w:rsidRPr="0089287A">
        <w:t xml:space="preserve">Develop a community engagement framework to assist in analysing and responding to community engagement issues </w:t>
      </w:r>
    </w:p>
    <w:p w:rsidR="00000000" w:rsidRPr="0089287A" w:rsidP="0089287A">
      <w:pPr>
        <w:pStyle w:val="ListBullet"/>
      </w:pPr>
      <w:r w:rsidRPr="0089287A">
        <w:t>Document two community engagement plans for two different and diverse community groups containing the followi</w:t>
      </w:r>
      <w:r w:rsidRPr="0089287A">
        <w:t>ng information:</w:t>
      </w:r>
    </w:p>
    <w:p w:rsidR="00000000" w:rsidRPr="0089287A" w:rsidP="0089287A">
      <w:pPr>
        <w:pStyle w:val="ListBullet2"/>
      </w:pPr>
      <w:r w:rsidRPr="0089287A">
        <w:t>purpose, objectives and parameters for the community engagement</w:t>
      </w:r>
    </w:p>
    <w:p w:rsidR="00000000" w:rsidRPr="0089287A" w:rsidP="0089287A">
      <w:pPr>
        <w:pStyle w:val="ListBullet2"/>
      </w:pPr>
      <w:r w:rsidRPr="0089287A">
        <w:t>resource requirements and roles and responsibilities of organisational personnel</w:t>
      </w:r>
    </w:p>
    <w:p w:rsidR="00000000" w:rsidRPr="0089287A" w:rsidP="0089287A">
      <w:pPr>
        <w:pStyle w:val="ListBullet2"/>
      </w:pPr>
      <w:r w:rsidRPr="0089287A">
        <w:t>benefits and constraints for both parties</w:t>
      </w:r>
    </w:p>
    <w:p w:rsidR="00000000" w:rsidRPr="0089287A" w:rsidP="0089287A">
      <w:pPr>
        <w:pStyle w:val="ListBullet2"/>
      </w:pPr>
      <w:r w:rsidRPr="0089287A">
        <w:t>community engagement strategies</w:t>
      </w:r>
    </w:p>
    <w:p w:rsidR="00000000" w:rsidRPr="0089287A" w:rsidP="0089287A">
      <w:pPr>
        <w:pStyle w:val="ListBullet2"/>
      </w:pPr>
      <w:r w:rsidRPr="0089287A">
        <w:t>mechanisms for the c</w:t>
      </w:r>
      <w:r w:rsidRPr="0089287A">
        <w:t>ommunity groups to raise their own issues with the organisation</w:t>
      </w:r>
    </w:p>
    <w:p w:rsidR="00000000" w:rsidRPr="0089287A" w:rsidP="0089287A">
      <w:pPr>
        <w:pStyle w:val="ListBullet2"/>
      </w:pPr>
      <w:r w:rsidRPr="0089287A">
        <w:t>how the organisation will build the capacity of the community groups to engage with the organisation</w:t>
      </w:r>
    </w:p>
    <w:p w:rsidR="00000000" w:rsidRPr="0089287A" w:rsidP="0089287A">
      <w:pPr>
        <w:pStyle w:val="ListBullet2"/>
      </w:pPr>
      <w:r w:rsidRPr="0089287A">
        <w:t>mechanisms for community feedback and methods of response.</w:t>
      </w:r>
    </w:p>
    <w:p w:rsidR="00000000" w:rsidRPr="0089287A" w:rsidP="0089287A">
      <w:pPr>
        <w:pStyle w:val="ListBullet"/>
      </w:pPr>
      <w:r w:rsidRPr="0089287A">
        <w:t>Implement and evaluate one of t</w:t>
      </w:r>
      <w:r w:rsidRPr="0089287A">
        <w:t>he above community engagement plans for the community group or participant sample.</w:t>
      </w:r>
    </w:p>
    <w:p w:rsidR="00000000" w:rsidRPr="0089287A" w:rsidP="0089287A">
      <w:pPr>
        <w:pStyle w:val="AllowPageBreak"/>
      </w:pPr>
    </w:p>
    <w:p w:rsidR="00000000" w:rsidRPr="0089287A" w:rsidP="0089287A">
      <w:pPr>
        <w:pStyle w:val="Heading1"/>
      </w:pPr>
      <w:bookmarkStart w:id="3" w:name="O_719841"/>
      <w:bookmarkEnd w:id="3"/>
      <w:r w:rsidRPr="0089287A">
        <w:t>Knowledge Evidence</w:t>
      </w:r>
    </w:p>
    <w:p w:rsidR="00000000" w:rsidRPr="0089287A" w:rsidP="00985194">
      <w:pPr>
        <w:pStyle w:val="BodyText"/>
      </w:pPr>
      <w:r w:rsidRPr="0089287A">
        <w:t>A person competent in this unit must be able to demonstrate knowledge of:</w:t>
      </w:r>
    </w:p>
    <w:p w:rsidR="00000000" w:rsidRPr="0089287A" w:rsidP="0089287A">
      <w:pPr>
        <w:pStyle w:val="ListBullet"/>
      </w:pPr>
      <w:r w:rsidRPr="0089287A">
        <w:t>Community engagement frameworks, including</w:t>
      </w:r>
    </w:p>
    <w:p w:rsidR="00000000" w:rsidRPr="0089287A" w:rsidP="0089287A">
      <w:pPr>
        <w:pStyle w:val="ListBullet2"/>
      </w:pPr>
      <w:r w:rsidRPr="0089287A">
        <w:t>core principles and indicators</w:t>
      </w:r>
    </w:p>
    <w:p w:rsidR="00000000" w:rsidRPr="0089287A" w:rsidP="0089287A">
      <w:pPr>
        <w:pStyle w:val="ListBullet2"/>
      </w:pPr>
      <w:r w:rsidRPr="0089287A">
        <w:t>standards</w:t>
      </w:r>
    </w:p>
    <w:p w:rsidR="00000000" w:rsidRPr="0089287A" w:rsidP="0089287A">
      <w:pPr>
        <w:pStyle w:val="ListBullet2"/>
      </w:pPr>
      <w:r w:rsidRPr="0089287A">
        <w:t>performance rating measures</w:t>
      </w:r>
    </w:p>
    <w:p w:rsidR="00000000" w:rsidRPr="0089287A" w:rsidP="0089287A">
      <w:pPr>
        <w:pStyle w:val="ListBullet2"/>
      </w:pPr>
      <w:r w:rsidRPr="0089287A">
        <w:t>types, methods and levels of engagement</w:t>
      </w:r>
    </w:p>
    <w:p w:rsidR="00000000" w:rsidRPr="0089287A" w:rsidP="0089287A">
      <w:pPr>
        <w:pStyle w:val="ListBullet2"/>
      </w:pPr>
      <w:r w:rsidRPr="0089287A">
        <w:t>communication modes</w:t>
      </w:r>
    </w:p>
    <w:p w:rsidR="00000000" w:rsidRPr="0089287A" w:rsidP="0089287A">
      <w:pPr>
        <w:pStyle w:val="ListBullet2"/>
      </w:pPr>
      <w:r w:rsidRPr="0089287A">
        <w:t>decision making mechanisms</w:t>
      </w:r>
    </w:p>
    <w:p w:rsidR="00000000" w:rsidRPr="0089287A" w:rsidP="0089287A">
      <w:pPr>
        <w:pStyle w:val="ListBullet"/>
      </w:pPr>
      <w:r w:rsidRPr="0089287A">
        <w:t>Key community perceptions and concerns with forest and wood products industry practice.</w:t>
      </w:r>
    </w:p>
    <w:p w:rsidR="00000000" w:rsidRPr="0089287A" w:rsidP="0089287A">
      <w:pPr>
        <w:pStyle w:val="ListBullet"/>
      </w:pPr>
      <w:r w:rsidRPr="0089287A">
        <w:t>Common fore</w:t>
      </w:r>
      <w:r w:rsidRPr="0089287A">
        <w:t>st and wood products industry issues requiring community engagement and range of benefits of engaging community in consultation processes.</w:t>
      </w:r>
    </w:p>
    <w:p w:rsidR="00000000" w:rsidRPr="0089287A" w:rsidP="0089287A">
      <w:pPr>
        <w:pStyle w:val="ListBullet"/>
      </w:pPr>
      <w:r w:rsidRPr="0089287A">
        <w:t>Community engagement theory and principles</w:t>
      </w:r>
    </w:p>
    <w:p w:rsidR="00000000" w:rsidRPr="0089287A" w:rsidP="0089287A">
      <w:pPr>
        <w:pStyle w:val="ListBullet"/>
      </w:pPr>
      <w:r w:rsidRPr="0089287A">
        <w:t>Strategies and techniques for community engagement</w:t>
      </w:r>
    </w:p>
    <w:p w:rsidR="00000000" w:rsidRPr="0089287A" w:rsidP="0089287A">
      <w:pPr>
        <w:pStyle w:val="ListBullet"/>
      </w:pPr>
      <w:r w:rsidRPr="0089287A">
        <w:t>Relationship and partnership building principles and techniques.</w:t>
      </w:r>
    </w:p>
    <w:p w:rsidR="00000000" w:rsidRPr="0089287A" w:rsidP="0089287A">
      <w:pPr>
        <w:pStyle w:val="ListBullet"/>
      </w:pPr>
      <w:r w:rsidRPr="0089287A">
        <w:t>Communication styles appropriate for establishing and fostering transparent relationships or partnerships with individuals and communities.</w:t>
      </w:r>
    </w:p>
    <w:p w:rsidR="00000000" w:rsidRPr="0089287A" w:rsidP="0089287A">
      <w:pPr>
        <w:pStyle w:val="ListBullet"/>
      </w:pPr>
      <w:r w:rsidRPr="0089287A">
        <w:t>Leadership principles and expectations management.</w:t>
      </w:r>
    </w:p>
    <w:p w:rsidR="00000000" w:rsidRPr="0089287A" w:rsidP="0089287A">
      <w:pPr>
        <w:pStyle w:val="ListBullet"/>
      </w:pPr>
      <w:r w:rsidRPr="0089287A">
        <w:t>Features, benefits and processes for a range of community engagement and consultation strategies.</w:t>
      </w:r>
    </w:p>
    <w:p w:rsidR="00000000" w:rsidRPr="0089287A" w:rsidP="0089287A">
      <w:pPr>
        <w:pStyle w:val="ListBullet"/>
      </w:pPr>
      <w:r w:rsidRPr="0089287A">
        <w:t>Organisational opportunities for community involvement.</w:t>
      </w:r>
    </w:p>
    <w:p w:rsidR="00000000" w:rsidRPr="0089287A" w:rsidP="0089287A">
      <w:pPr>
        <w:pStyle w:val="ListBullet"/>
      </w:pPr>
      <w:r w:rsidRPr="0089287A">
        <w:t>Constraints and barriers to community engagement.</w:t>
      </w:r>
    </w:p>
    <w:p w:rsidR="00000000" w:rsidRPr="0089287A" w:rsidP="0089287A">
      <w:pPr>
        <w:pStyle w:val="ListBullet"/>
      </w:pPr>
      <w:r w:rsidRPr="0089287A">
        <w:t>Processes of individual and group advocacy.</w:t>
      </w:r>
    </w:p>
    <w:p w:rsidR="00000000" w:rsidRPr="0089287A" w:rsidP="0089287A">
      <w:pPr>
        <w:pStyle w:val="ListBullet"/>
      </w:pPr>
      <w:r w:rsidRPr="0089287A">
        <w:t>Demograp</w:t>
      </w:r>
      <w:r w:rsidRPr="0089287A">
        <w:t>hic features of the local community, including:</w:t>
      </w:r>
    </w:p>
    <w:p w:rsidR="00000000" w:rsidRPr="0089287A" w:rsidP="0089287A">
      <w:pPr>
        <w:pStyle w:val="ListBullet2"/>
      </w:pPr>
      <w:r w:rsidRPr="0089287A">
        <w:t>socio-economic diversity</w:t>
      </w:r>
    </w:p>
    <w:p w:rsidR="00000000" w:rsidRPr="0089287A" w:rsidP="0089287A">
      <w:pPr>
        <w:pStyle w:val="ListBullet2"/>
      </w:pPr>
      <w:r w:rsidRPr="0089287A">
        <w:t>gender diversity</w:t>
      </w:r>
    </w:p>
    <w:p w:rsidR="00000000" w:rsidRPr="0089287A" w:rsidP="0089287A">
      <w:pPr>
        <w:pStyle w:val="ListBullet2"/>
      </w:pPr>
      <w:r w:rsidRPr="0089287A">
        <w:t>cultural mix</w:t>
      </w:r>
    </w:p>
    <w:p w:rsidR="00000000" w:rsidRPr="0089287A" w:rsidP="0089287A">
      <w:pPr>
        <w:pStyle w:val="ListBullet2"/>
      </w:pPr>
      <w:r w:rsidRPr="0089287A">
        <w:t>household structures</w:t>
      </w:r>
    </w:p>
    <w:p w:rsidR="00000000" w:rsidRPr="0089287A" w:rsidP="0089287A">
      <w:pPr>
        <w:pStyle w:val="ListBullet2"/>
      </w:pPr>
      <w:r w:rsidRPr="0089287A">
        <w:t>education levels</w:t>
      </w:r>
    </w:p>
    <w:p w:rsidR="00000000" w:rsidRPr="0089287A" w:rsidP="0089287A">
      <w:pPr>
        <w:pStyle w:val="ListBullet2"/>
      </w:pPr>
      <w:r w:rsidRPr="0089287A">
        <w:t>political orientations</w:t>
      </w:r>
    </w:p>
    <w:p w:rsidR="00000000" w:rsidRPr="0089287A" w:rsidP="0089287A">
      <w:pPr>
        <w:pStyle w:val="ListBullet2"/>
      </w:pPr>
      <w:r w:rsidRPr="0089287A">
        <w:t>religious beliefs</w:t>
      </w:r>
    </w:p>
    <w:p w:rsidR="00000000" w:rsidRPr="0089287A" w:rsidP="0089287A">
      <w:pPr>
        <w:pStyle w:val="ListBullet2"/>
      </w:pPr>
      <w:r w:rsidRPr="0089287A">
        <w:t>industry and business structures.</w:t>
      </w:r>
    </w:p>
    <w:p w:rsidR="00000000" w:rsidRPr="0089287A" w:rsidP="0089287A">
      <w:pPr>
        <w:pStyle w:val="ListBullet"/>
      </w:pPr>
      <w:r w:rsidRPr="0089287A">
        <w:t>Characteristics of local communities and factors affecting community engagement, including:</w:t>
      </w:r>
    </w:p>
    <w:p w:rsidR="00000000" w:rsidRPr="0089287A" w:rsidP="0089287A">
      <w:pPr>
        <w:pStyle w:val="ListBullet2"/>
      </w:pPr>
      <w:r w:rsidRPr="0089287A">
        <w:t>dynamics of community</w:t>
      </w:r>
    </w:p>
    <w:p w:rsidR="00000000" w:rsidRPr="0089287A" w:rsidP="0089287A">
      <w:pPr>
        <w:pStyle w:val="ListBullet2"/>
      </w:pPr>
      <w:r w:rsidRPr="0089287A">
        <w:t>community power structures</w:t>
      </w:r>
    </w:p>
    <w:p w:rsidR="00000000" w:rsidRPr="0089287A" w:rsidP="0089287A">
      <w:pPr>
        <w:pStyle w:val="ListBullet2"/>
      </w:pPr>
      <w:r w:rsidRPr="0089287A">
        <w:t xml:space="preserve">big politics versus community politics (big </w:t>
      </w:r>
      <w:r>
        <w:t>‘</w:t>
      </w:r>
      <w:r w:rsidRPr="0089287A">
        <w:t>P</w:t>
      </w:r>
      <w:r>
        <w:t>’</w:t>
      </w:r>
      <w:r w:rsidRPr="0089287A">
        <w:t xml:space="preserve"> v little </w:t>
      </w:r>
      <w:r>
        <w:t>‘</w:t>
      </w:r>
      <w:r w:rsidRPr="0089287A">
        <w:t>p</w:t>
      </w:r>
      <w:r>
        <w:t>’</w:t>
      </w:r>
      <w:r w:rsidRPr="0089287A">
        <w:t>)</w:t>
      </w:r>
    </w:p>
    <w:p w:rsidR="00000000" w:rsidRPr="0089287A" w:rsidP="0089287A">
      <w:pPr>
        <w:pStyle w:val="ListBullet2"/>
      </w:pPr>
      <w:r w:rsidRPr="0089287A">
        <w:t>collaborations</w:t>
      </w:r>
    </w:p>
    <w:p w:rsidR="00000000" w:rsidRPr="0089287A" w:rsidP="0089287A">
      <w:pPr>
        <w:pStyle w:val="ListBullet2"/>
      </w:pPr>
      <w:r w:rsidRPr="0089287A">
        <w:t>formal and informal community network</w:t>
      </w:r>
      <w:r w:rsidRPr="0089287A">
        <w:t>s, partnerships and lobby groups</w:t>
      </w:r>
    </w:p>
    <w:p w:rsidR="00000000" w:rsidRPr="0089287A" w:rsidP="0089287A">
      <w:pPr>
        <w:pStyle w:val="ListBullet2"/>
      </w:pPr>
      <w:r w:rsidRPr="0089287A">
        <w:t>strength and views publicised by business community and local media organisations.</w:t>
      </w:r>
    </w:p>
    <w:p w:rsidR="00000000" w:rsidRPr="0089287A" w:rsidP="0089287A">
      <w:pPr>
        <w:pStyle w:val="ListBullet"/>
      </w:pPr>
      <w:r w:rsidRPr="0089287A">
        <w:t>Organisational requirements, policies and procedures for:</w:t>
      </w:r>
    </w:p>
    <w:p w:rsidR="00000000" w:rsidRPr="0089287A" w:rsidP="0089287A">
      <w:pPr>
        <w:pStyle w:val="ListBullet2"/>
      </w:pPr>
      <w:r w:rsidRPr="0089287A">
        <w:t>community engagement</w:t>
      </w:r>
    </w:p>
    <w:p w:rsidR="00000000" w:rsidRPr="0089287A" w:rsidP="0089287A">
      <w:pPr>
        <w:pStyle w:val="ListBullet2"/>
      </w:pPr>
      <w:r w:rsidRPr="0089287A">
        <w:t>communication and media engagement.</w:t>
      </w:r>
    </w:p>
    <w:p w:rsidR="00000000" w:rsidRPr="0089287A" w:rsidP="0089287A">
      <w:pPr>
        <w:pStyle w:val="AllowPageBreak"/>
      </w:pPr>
    </w:p>
    <w:p w:rsidR="00000000" w:rsidRPr="0089287A" w:rsidP="0089287A">
      <w:pPr>
        <w:pStyle w:val="Heading1"/>
      </w:pPr>
      <w:bookmarkStart w:id="4" w:name="O_719842"/>
      <w:bookmarkEnd w:id="4"/>
      <w:r w:rsidRPr="0089287A">
        <w:t>Assess</w:t>
      </w:r>
      <w:r w:rsidRPr="0089287A">
        <w:t>ment Conditions</w:t>
      </w:r>
    </w:p>
    <w:p w:rsidR="00000000" w:rsidRPr="0089287A" w:rsidP="00985194">
      <w:pPr>
        <w:pStyle w:val="BodyText"/>
      </w:pPr>
      <w:r w:rsidRPr="0089287A">
        <w:t>The following resources must be made available:</w:t>
      </w:r>
    </w:p>
    <w:p w:rsidR="00000000" w:rsidRPr="0089287A" w:rsidP="0089287A">
      <w:pPr>
        <w:pStyle w:val="ListBullet"/>
      </w:pPr>
      <w:r w:rsidRPr="0089287A">
        <w:t>Computers, keyboards, printers and software used to prepare correspondence with community stakeholders and to prepare organisational plans and reports.</w:t>
      </w:r>
    </w:p>
    <w:p w:rsidR="00000000" w:rsidRPr="0089287A" w:rsidP="0089287A">
      <w:pPr>
        <w:pStyle w:val="ListBullet"/>
      </w:pPr>
      <w:r w:rsidRPr="0089287A">
        <w:t>Information on local community.</w:t>
      </w:r>
    </w:p>
    <w:p w:rsidR="00000000" w:rsidRPr="0089287A" w:rsidP="0089287A">
      <w:pPr>
        <w:pStyle w:val="ListBullet"/>
      </w:pPr>
      <w:r w:rsidRPr="0089287A">
        <w:t>Current journals, Australian and international case studies on community engagement.</w:t>
      </w:r>
    </w:p>
    <w:p w:rsidR="00000000" w:rsidRPr="0089287A" w:rsidP="0089287A">
      <w:pPr>
        <w:pStyle w:val="ListBullet"/>
      </w:pPr>
      <w:r w:rsidRPr="0089287A">
        <w:t>Organisational policies and procedures for community engagement.</w:t>
      </w:r>
    </w:p>
    <w:p w:rsidR="00000000" w:rsidRPr="0089287A" w:rsidP="0089287A">
      <w:pPr>
        <w:pStyle w:val="BodyText"/>
      </w:pPr>
    </w:p>
    <w:p w:rsidR="00000000" w:rsidRPr="0089287A" w:rsidP="00985194">
      <w:pPr>
        <w:pStyle w:val="BodyText"/>
      </w:pPr>
      <w:r w:rsidRPr="0089287A">
        <w:t>Competency is to be assessed in the workplace or a simulated environment that accurately reflects perform</w:t>
      </w:r>
      <w:r w:rsidRPr="0089287A">
        <w:t xml:space="preserve">ance in a real workplace setting. </w:t>
      </w:r>
    </w:p>
    <w:p w:rsidR="00000000" w:rsidRPr="0089287A" w:rsidP="00985194">
      <w:pPr>
        <w:pStyle w:val="Heading3"/>
      </w:pPr>
      <w:r w:rsidRPr="0089287A">
        <w:rPr>
          <w:rStyle w:val="SpecialBold"/>
        </w:rPr>
        <w:t>Assessor requirements</w:t>
      </w:r>
    </w:p>
    <w:p w:rsidR="00000000" w:rsidRPr="0089287A" w:rsidP="00985194">
      <w:pPr>
        <w:pStyle w:val="BodyText"/>
      </w:pPr>
      <w:r w:rsidRPr="0089287A">
        <w:t>Assessors must:</w:t>
      </w:r>
    </w:p>
    <w:p w:rsidR="00000000" w:rsidRPr="0089287A" w:rsidP="0089287A">
      <w:pPr>
        <w:pStyle w:val="ListBullet"/>
      </w:pPr>
      <w:r w:rsidRPr="0089287A">
        <w:t>Hold the appropriate assessor competency standards as outlined in regulations; and</w:t>
      </w:r>
    </w:p>
    <w:p w:rsidR="00000000" w:rsidRPr="0089287A" w:rsidP="0089287A">
      <w:pPr>
        <w:pStyle w:val="ListBullet"/>
      </w:pPr>
      <w:r w:rsidRPr="0089287A">
        <w:t>be able to demonstrate vocational competencies at least to the level being assessed; and</w:t>
      </w:r>
    </w:p>
    <w:p w:rsidR="00000000" w:rsidRPr="0089287A" w:rsidP="0089287A">
      <w:pPr>
        <w:pStyle w:val="ListBullet"/>
      </w:pPr>
      <w:r w:rsidRPr="0089287A">
        <w:t>be able t</w:t>
      </w:r>
      <w:r w:rsidRPr="0089287A">
        <w:t>o demonstrate how they are continuing to develop their VET knowledge and skills as well as maintaining their industry currency and assessor competence.</w:t>
      </w:r>
    </w:p>
    <w:p w:rsidR="00000000" w:rsidRPr="0089287A" w:rsidP="0089287A">
      <w:pPr>
        <w:pStyle w:val="AllowPageBreak"/>
      </w:pPr>
    </w:p>
    <w:p w:rsidR="00000000" w:rsidRPr="0089287A" w:rsidP="0089287A">
      <w:pPr>
        <w:pStyle w:val="Heading1"/>
      </w:pPr>
      <w:bookmarkStart w:id="5" w:name="O_719845"/>
      <w:bookmarkEnd w:id="5"/>
      <w:r w:rsidRPr="0089287A">
        <w:t>Links</w:t>
      </w:r>
    </w:p>
    <w:p w:rsidR="00000000" w:rsidRPr="0089287A" w:rsidP="00985194">
      <w:pPr>
        <w:pStyle w:val="BodyText"/>
      </w:pPr>
      <w:r w:rsidRPr="008928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B6E9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9287A" w:rsidP="0089287A"/>
    <w:sectPr w:rsidSect="008928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8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87A" w:rsidRPr="00985194" w:rsidP="009851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8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194" w:rsidP="008928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5194" w:rsidP="008928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85194" w:rsidP="008928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8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1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287A" w:rsidRPr="00985194" w:rsidP="009851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8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194" w:rsidRPr="002D2AF8" w:rsidP="008928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FWPCOT6201 Manage community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985194" w:rsidP="008928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727E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EACA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FCF1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8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28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28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28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28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28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28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28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28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28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28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287A"/>
  </w:style>
  <w:style w:type="character" w:customStyle="1" w:styleId="Heading1Char">
    <w:name w:val="Heading 1 Char"/>
    <w:basedOn w:val="DefaultParagraphFont"/>
    <w:link w:val="Heading1"/>
    <w:rsid w:val="008928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28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28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28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287A"/>
    <w:rPr>
      <w:b/>
      <w:spacing w:val="0"/>
    </w:rPr>
  </w:style>
  <w:style w:type="paragraph" w:styleId="ListBullet2">
    <w:name w:val="List Bullet 2"/>
    <w:basedOn w:val="List2"/>
    <w:rsid w:val="008928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28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28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28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28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28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2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2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2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2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28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28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28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28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28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28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28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28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28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28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28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28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28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28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28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28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28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28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28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28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28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28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28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28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28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287A"/>
    <w:rPr>
      <w:i/>
    </w:rPr>
  </w:style>
  <w:style w:type="paragraph" w:styleId="Caption">
    <w:name w:val="caption"/>
    <w:basedOn w:val="BodyText"/>
    <w:next w:val="Normal"/>
    <w:qFormat/>
    <w:rsid w:val="008928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28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28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287A"/>
  </w:style>
  <w:style w:type="paragraph" w:styleId="TableofFigures">
    <w:name w:val="table of figures"/>
    <w:basedOn w:val="Normal"/>
    <w:next w:val="Normal"/>
    <w:semiHidden/>
    <w:rsid w:val="008928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28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287A"/>
    <w:rPr>
      <w:rFonts w:ascii="Wingdings" w:hAnsi="Wingdings"/>
    </w:rPr>
  </w:style>
  <w:style w:type="paragraph" w:customStyle="1" w:styleId="TableHeading">
    <w:name w:val="Table Heading"/>
    <w:basedOn w:val="HeadingBase"/>
    <w:rsid w:val="008928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287A"/>
    <w:rPr>
      <w:color w:val="0033CC"/>
      <w:u w:val="none"/>
    </w:rPr>
  </w:style>
  <w:style w:type="paragraph" w:customStyle="1" w:styleId="BodyTextRight">
    <w:name w:val="Body Text Right"/>
    <w:basedOn w:val="BodyText"/>
    <w:rsid w:val="008928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28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28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28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28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28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287A"/>
    <w:rPr>
      <w:sz w:val="32"/>
    </w:rPr>
  </w:style>
  <w:style w:type="paragraph" w:customStyle="1" w:styleId="HeadingProcedure">
    <w:name w:val="Heading Procedure"/>
    <w:basedOn w:val="HeadingBase"/>
    <w:next w:val="Normal"/>
    <w:rsid w:val="008928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287A"/>
    <w:pPr>
      <w:spacing w:before="60" w:after="60"/>
    </w:pPr>
  </w:style>
  <w:style w:type="paragraph" w:styleId="ListContinue">
    <w:name w:val="List Continue"/>
    <w:basedOn w:val="List"/>
    <w:rsid w:val="0089287A"/>
    <w:pPr>
      <w:ind w:firstLine="0"/>
    </w:pPr>
  </w:style>
  <w:style w:type="paragraph" w:customStyle="1" w:styleId="ListNote">
    <w:name w:val="List Note"/>
    <w:basedOn w:val="List"/>
    <w:rsid w:val="008928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28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28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287A"/>
    <w:rPr>
      <w:rFonts w:ascii="Courier New" w:hAnsi="Courier New"/>
    </w:rPr>
  </w:style>
  <w:style w:type="paragraph" w:customStyle="1" w:styleId="NoteBullet">
    <w:name w:val="Note Bullet"/>
    <w:basedOn w:val="Note"/>
    <w:rsid w:val="008928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28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28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28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28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28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28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287A"/>
    <w:rPr>
      <w:b/>
      <w:smallCaps/>
    </w:rPr>
  </w:style>
  <w:style w:type="paragraph" w:customStyle="1" w:styleId="TableListNumber">
    <w:name w:val="Table List Number"/>
    <w:basedOn w:val="ListNumber"/>
    <w:rsid w:val="008928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28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287A"/>
    <w:pPr>
      <w:numPr>
        <w:numId w:val="9"/>
      </w:numPr>
    </w:pPr>
  </w:style>
  <w:style w:type="paragraph" w:customStyle="1" w:styleId="ListAlpha2">
    <w:name w:val="List Alpha 2"/>
    <w:basedOn w:val="List2"/>
    <w:rsid w:val="0089287A"/>
    <w:pPr>
      <w:numPr>
        <w:numId w:val="8"/>
      </w:numPr>
    </w:pPr>
  </w:style>
  <w:style w:type="paragraph" w:styleId="List2">
    <w:name w:val="List 2"/>
    <w:basedOn w:val="BodyText"/>
    <w:rsid w:val="008928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28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28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28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28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28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287A"/>
    <w:pPr>
      <w:numPr>
        <w:numId w:val="4"/>
      </w:numPr>
    </w:pPr>
  </w:style>
  <w:style w:type="paragraph" w:styleId="ListContinue2">
    <w:name w:val="List Continue 2"/>
    <w:basedOn w:val="List2"/>
    <w:rsid w:val="0089287A"/>
    <w:pPr>
      <w:ind w:firstLine="0"/>
    </w:pPr>
  </w:style>
  <w:style w:type="paragraph" w:styleId="ListContinue3">
    <w:name w:val="List Continue 3"/>
    <w:basedOn w:val="List3"/>
    <w:rsid w:val="0089287A"/>
    <w:pPr>
      <w:ind w:left="1021" w:firstLine="0"/>
    </w:pPr>
  </w:style>
  <w:style w:type="paragraph" w:styleId="ListContinue4">
    <w:name w:val="List Continue 4"/>
    <w:basedOn w:val="List4"/>
    <w:rsid w:val="0089287A"/>
    <w:pPr>
      <w:ind w:firstLine="0"/>
    </w:pPr>
  </w:style>
  <w:style w:type="paragraph" w:styleId="ListContinue5">
    <w:name w:val="List Continue 5"/>
    <w:basedOn w:val="List5"/>
    <w:rsid w:val="0089287A"/>
    <w:pPr>
      <w:ind w:firstLine="0"/>
    </w:pPr>
  </w:style>
  <w:style w:type="paragraph" w:styleId="ListNumber3">
    <w:name w:val="List Number 3"/>
    <w:basedOn w:val="List3"/>
    <w:rsid w:val="0089287A"/>
    <w:pPr>
      <w:numPr>
        <w:numId w:val="5"/>
      </w:numPr>
    </w:pPr>
  </w:style>
  <w:style w:type="paragraph" w:styleId="ListNumber4">
    <w:name w:val="List Number 4"/>
    <w:basedOn w:val="List4"/>
    <w:rsid w:val="0089287A"/>
    <w:pPr>
      <w:numPr>
        <w:numId w:val="6"/>
      </w:numPr>
    </w:pPr>
  </w:style>
  <w:style w:type="paragraph" w:styleId="ListNumber5">
    <w:name w:val="List Number 5"/>
    <w:basedOn w:val="List5"/>
    <w:rsid w:val="0089287A"/>
    <w:pPr>
      <w:numPr>
        <w:numId w:val="7"/>
      </w:numPr>
    </w:pPr>
  </w:style>
  <w:style w:type="paragraph" w:styleId="BlockText">
    <w:name w:val="Block Text"/>
    <w:basedOn w:val="Normal"/>
    <w:rsid w:val="008928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28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287A"/>
    <w:rPr>
      <w:sz w:val="16"/>
      <w:vertAlign w:val="superscript"/>
    </w:rPr>
  </w:style>
  <w:style w:type="character" w:customStyle="1" w:styleId="Symbols">
    <w:name w:val="Symbols"/>
    <w:basedOn w:val="DefaultParagraphFont"/>
    <w:rsid w:val="0089287A"/>
    <w:rPr>
      <w:rFonts w:ascii="Symbol" w:hAnsi="Symbol"/>
    </w:rPr>
  </w:style>
  <w:style w:type="character" w:customStyle="1" w:styleId="MenuOptions">
    <w:name w:val="Menu Options"/>
    <w:basedOn w:val="DefaultParagraphFont"/>
    <w:rsid w:val="008928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287A"/>
    <w:rPr>
      <w:b/>
    </w:rPr>
  </w:style>
  <w:style w:type="character" w:customStyle="1" w:styleId="Underlined">
    <w:name w:val="Underlined"/>
    <w:basedOn w:val="DefaultParagraphFont"/>
    <w:rsid w:val="0089287A"/>
    <w:rPr>
      <w:u w:val="single"/>
    </w:rPr>
  </w:style>
  <w:style w:type="paragraph" w:customStyle="1" w:styleId="TableBodyTextRight">
    <w:name w:val="Table Body Text Right"/>
    <w:basedOn w:val="TableBodyText"/>
    <w:rsid w:val="008928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287A"/>
    <w:rPr>
      <w:sz w:val="18"/>
    </w:rPr>
  </w:style>
  <w:style w:type="paragraph" w:customStyle="1" w:styleId="BodySmallRight">
    <w:name w:val="Body Small Right"/>
    <w:basedOn w:val="BodyTextRight"/>
    <w:rsid w:val="0089287A"/>
    <w:rPr>
      <w:sz w:val="18"/>
      <w:szCs w:val="18"/>
    </w:rPr>
  </w:style>
  <w:style w:type="paragraph" w:customStyle="1" w:styleId="MarginEdition">
    <w:name w:val="Margin Edition"/>
    <w:basedOn w:val="MarginNote"/>
    <w:rsid w:val="008928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287A"/>
    <w:rPr>
      <w:sz w:val="2"/>
      <w:szCs w:val="2"/>
    </w:rPr>
  </w:style>
  <w:style w:type="character" w:customStyle="1" w:styleId="Small">
    <w:name w:val="Small"/>
    <w:basedOn w:val="DefaultParagraphFont"/>
    <w:rsid w:val="0089287A"/>
    <w:rPr>
      <w:sz w:val="16"/>
    </w:rPr>
  </w:style>
  <w:style w:type="paragraph" w:customStyle="1" w:styleId="WideTable">
    <w:name w:val="Wide Table"/>
    <w:basedOn w:val="Normal"/>
    <w:rsid w:val="008928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287A"/>
  </w:style>
  <w:style w:type="paragraph" w:styleId="Quote">
    <w:name w:val="Quote"/>
    <w:basedOn w:val="Heading1"/>
    <w:link w:val="QuoteChar"/>
    <w:qFormat/>
    <w:rsid w:val="008928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28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287A"/>
    <w:pPr>
      <w:pageBreakBefore/>
    </w:pPr>
  </w:style>
  <w:style w:type="paragraph" w:customStyle="1" w:styleId="Border">
    <w:name w:val="Border"/>
    <w:basedOn w:val="Normal"/>
    <w:qFormat/>
    <w:rsid w:val="008928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28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8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8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28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28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28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28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28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287A"/>
    <w:rPr>
      <w:u w:val="single"/>
    </w:rPr>
  </w:style>
  <w:style w:type="character" w:customStyle="1" w:styleId="BoldandItalics">
    <w:name w:val="Bold and Italics"/>
    <w:qFormat/>
    <w:rsid w:val="0089287A"/>
    <w:rPr>
      <w:b/>
      <w:i/>
      <w:u w:val="none"/>
    </w:rPr>
  </w:style>
  <w:style w:type="paragraph" w:styleId="BalloonText">
    <w:name w:val="Balloon Text"/>
    <w:basedOn w:val="Normal"/>
    <w:link w:val="BalloonTextChar"/>
    <w:rsid w:val="00892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8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28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28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28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28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287A"/>
    <w:pPr>
      <w:spacing w:before="0" w:after="0"/>
    </w:pPr>
  </w:style>
  <w:style w:type="paragraph" w:customStyle="1" w:styleId="BodyTextBold">
    <w:name w:val="Body Text Bold"/>
    <w:basedOn w:val="BodyText"/>
    <w:qFormat/>
    <w:rsid w:val="0089287A"/>
    <w:rPr>
      <w:b/>
    </w:rPr>
  </w:style>
  <w:style w:type="character" w:styleId="Hyperlink">
    <w:name w:val="Hyperlink"/>
    <w:basedOn w:val="DefaultParagraphFont"/>
    <w:uiPriority w:val="99"/>
    <w:unhideWhenUsed/>
    <w:rsid w:val="009851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4473</Characters>
  <Application>Microsoft Office Word</Application>
  <DocSecurity>0</DocSecurity>
  <Lines>117</Lines>
  <Paragraphs>94</Paragraphs>
  <ScaleCrop>false</ScaleCrop>
  <Company>Author-it Software Corporation Ltd.</Company>
  <LinksUpToDate>false</LinksUpToDate>
  <CharactersWithSpaces>5020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FWPCOT6201 Manage community engagement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2021-04-29T02:57:00Z</dcterms:created>
  <dcterms:modified xsi:type="dcterms:W3CDTF">2021-04-29T02:57:00Z</dcterms:modified>
</cp:coreProperties>
</file>