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0C9" w:rsidP="001F50C9">
      <w:pPr>
        <w:pStyle w:val="Title"/>
      </w:pPr>
      <w:r>
        <w:fldChar w:fldCharType="begin"/>
      </w:r>
      <w:r>
        <w:instrText xml:space="preserve"> TITLE   \* MERGEFORMAT </w:instrText>
      </w:r>
      <w:r>
        <w:fldChar w:fldCharType="separate"/>
      </w:r>
      <w:r>
        <w:t>FWPCOT5205 Develop biohazard contingency plans</w:t>
      </w:r>
      <w:r>
        <w:fldChar w:fldCharType="end"/>
      </w:r>
    </w:p>
    <w:p w:rsidR="001F50C9" w:rsidP="001F50C9">
      <w:pPr>
        <w:pStyle w:val="Version"/>
        <w:sectPr w:rsidSect="00B87A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A9A" w:rsidP="00B87A9A">
      <w:pPr>
        <w:pStyle w:val="SuperHeading"/>
      </w:pPr>
      <w:r w:rsidRPr="00B87A9A">
        <w:t>FWPCOT5205 Develop biohazard contingency plans</w:t>
      </w:r>
    </w:p>
    <w:p w:rsidR="00000000" w:rsidRPr="00B87A9A" w:rsidP="00B87A9A">
      <w:pPr>
        <w:pStyle w:val="Heading1"/>
      </w:pPr>
      <w:bookmarkStart w:id="1" w:name="O_719734"/>
      <w:bookmarkEnd w:id="1"/>
      <w:r w:rsidRPr="00B87A9A">
        <w:t>Modification History</w:t>
      </w:r>
    </w:p>
    <w:tbl>
      <w:tblPr>
        <w:tblW w:w="0" w:type="auto"/>
        <w:tblCellMar>
          <w:left w:w="62" w:type="dxa"/>
          <w:right w:w="62" w:type="dxa"/>
        </w:tblCellMar>
        <w:tblLook w:val="0000"/>
      </w:tblPr>
      <w:tblGrid>
        <w:gridCol w:w="2007"/>
        <w:gridCol w:w="7189"/>
      </w:tblGrid>
      <w:tr w:rsidTr="001F50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A9A" w:rsidP="00B87A9A">
            <w:pPr>
              <w:pStyle w:val="BodyText"/>
            </w:pPr>
            <w:r w:rsidRPr="00B87A9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9A">
            <w:pPr>
              <w:pStyle w:val="BodyText"/>
              <w:rPr>
                <w:lang w:val="en-NZ"/>
              </w:rPr>
            </w:pPr>
            <w:r w:rsidRPr="00B87A9A">
              <w:rPr>
                <w:rStyle w:val="SpecialBold"/>
              </w:rPr>
              <w:t>Comment</w:t>
            </w:r>
          </w:p>
        </w:tc>
      </w:tr>
      <w:tr w:rsidTr="001F50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9A">
            <w:pPr>
              <w:pStyle w:val="BodyText"/>
              <w:rPr>
                <w:lang w:val="en-NZ"/>
              </w:rPr>
            </w:pPr>
            <w:r w:rsidRPr="00B87A9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A9A" w:rsidP="00B87A9A">
            <w:pPr>
              <w:pStyle w:val="BodyText"/>
            </w:pPr>
            <w:r w:rsidRPr="00B87A9A">
              <w:t>Replaces equivalent unit FPICOT5205A Develop biohazard contingency plans which was first released with FPI11 Forest and Forest Products Training Package Version 2.2.</w:t>
            </w:r>
          </w:p>
        </w:tc>
      </w:tr>
    </w:tbl>
    <w:p w:rsidR="00000000" w:rsidRPr="00B87A9A" w:rsidP="00B87A9A">
      <w:pPr>
        <w:pStyle w:val="BodyText"/>
      </w:pPr>
    </w:p>
    <w:p w:rsidR="00000000" w:rsidRPr="00B87A9A" w:rsidP="00B87A9A">
      <w:pPr>
        <w:pStyle w:val="AllowPageBreak"/>
      </w:pPr>
    </w:p>
    <w:p w:rsidR="00000000" w:rsidRPr="00B87A9A" w:rsidP="00B87A9A">
      <w:pPr>
        <w:pStyle w:val="Heading1"/>
      </w:pPr>
      <w:bookmarkStart w:id="2" w:name="O_719735"/>
      <w:bookmarkEnd w:id="2"/>
      <w:r w:rsidRPr="00B87A9A">
        <w:t>Application</w:t>
      </w:r>
    </w:p>
    <w:p w:rsidR="00000000" w:rsidRPr="00B87A9A" w:rsidP="001F50C9">
      <w:pPr>
        <w:pStyle w:val="BodyText"/>
      </w:pPr>
      <w:r w:rsidRPr="00B87A9A">
        <w:t>This unit o</w:t>
      </w:r>
      <w:r w:rsidRPr="00B87A9A">
        <w:t>f competency describes the outcomes required to develop plans to manage the risk of biohazard incidents involving fungal, viral, bacterial, insect and vertebrate infestations. Plans are developed to ensure hazards are controlled and that any infestation ha</w:t>
      </w:r>
      <w:r w:rsidRPr="00B87A9A">
        <w:t xml:space="preserve">s minimal social, economic and environmental impact. The unit applies to the full scope of forest and wood products industry workplaces and to operations of all sizes. </w:t>
      </w:r>
    </w:p>
    <w:p w:rsidR="00000000" w:rsidRPr="00B87A9A" w:rsidP="001F50C9">
      <w:pPr>
        <w:pStyle w:val="BodyText"/>
      </w:pPr>
      <w:r w:rsidRPr="00B87A9A">
        <w:t>The unit applies to job roles including Environmental Planners and Managers, Forest/Ti</w:t>
      </w:r>
      <w:r w:rsidRPr="00B87A9A">
        <w:t>mber Harvester, Forest Planner, Forest Sustainability Manager, Forestry Manager, General Manager, Plantation Manager, Sustainability Manager and Technical Forester.</w:t>
      </w:r>
    </w:p>
    <w:p w:rsidR="00000000" w:rsidRPr="00B87A9A" w:rsidP="001F50C9">
      <w:pPr>
        <w:pStyle w:val="BodyText"/>
      </w:pPr>
      <w:r w:rsidRPr="00B87A9A">
        <w:t>No licensing, legislative, regulatory, or certification requirements apply to this unit at</w:t>
      </w:r>
      <w:r w:rsidRPr="00B87A9A">
        <w:t xml:space="preserve"> the time of publication.</w:t>
      </w:r>
    </w:p>
    <w:p w:rsidR="00000000" w:rsidRPr="00B87A9A" w:rsidP="00B87A9A">
      <w:pPr>
        <w:pStyle w:val="Heading1"/>
      </w:pPr>
      <w:bookmarkStart w:id="3" w:name="O_719736"/>
      <w:bookmarkEnd w:id="3"/>
      <w:r w:rsidRPr="00B87A9A">
        <w:t>Pre-requisite Unit</w:t>
      </w:r>
    </w:p>
    <w:p w:rsidR="00000000" w:rsidRPr="00B87A9A" w:rsidP="001F50C9">
      <w:pPr>
        <w:pStyle w:val="BodyText"/>
      </w:pPr>
      <w:r w:rsidRPr="00B87A9A">
        <w:t>Nil.</w:t>
      </w:r>
    </w:p>
    <w:p w:rsidR="00000000" w:rsidRPr="00B87A9A" w:rsidP="00B87A9A">
      <w:pPr>
        <w:pStyle w:val="Heading1"/>
      </w:pPr>
      <w:bookmarkStart w:id="4" w:name="O_719738"/>
      <w:bookmarkEnd w:id="4"/>
      <w:r w:rsidRPr="00B87A9A">
        <w:t>Unit Sector</w:t>
      </w:r>
    </w:p>
    <w:p w:rsidR="00000000" w:rsidRPr="00B87A9A" w:rsidP="001F50C9">
      <w:pPr>
        <w:pStyle w:val="BodyText"/>
      </w:pPr>
      <w:r w:rsidRPr="00B87A9A">
        <w:t>Common Technical</w:t>
      </w:r>
    </w:p>
    <w:p w:rsidR="00000000" w:rsidRPr="00B87A9A" w:rsidP="00B87A9A">
      <w:pPr>
        <w:pStyle w:val="Heading1"/>
      </w:pPr>
      <w:bookmarkStart w:id="5" w:name="O_719739"/>
      <w:bookmarkEnd w:id="5"/>
      <w:r w:rsidRPr="00B87A9A">
        <w:t>Elements and Performance Criteria</w:t>
      </w:r>
    </w:p>
    <w:tbl>
      <w:tblPr>
        <w:tblW w:w="0" w:type="auto"/>
        <w:tblCellMar>
          <w:left w:w="62" w:type="dxa"/>
          <w:right w:w="62" w:type="dxa"/>
        </w:tblCellMar>
        <w:tblLook w:val="0000"/>
      </w:tblPr>
      <w:tblGrid>
        <w:gridCol w:w="2007"/>
        <w:gridCol w:w="7189"/>
      </w:tblGrid>
      <w:tr w:rsidTr="001F50C9">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87A9A" w:rsidP="00B87A9A">
            <w:pPr>
              <w:pStyle w:val="BodyText"/>
            </w:pPr>
            <w:r w:rsidRPr="00B87A9A">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87A9A">
            <w:pPr>
              <w:pStyle w:val="BodyText"/>
              <w:rPr>
                <w:lang w:val="en-NZ"/>
              </w:rPr>
            </w:pPr>
            <w:r w:rsidRPr="00B87A9A">
              <w:rPr>
                <w:rStyle w:val="SpecialBold"/>
              </w:rPr>
              <w:t>PERFORMANCE CRITERIA</w:t>
            </w:r>
          </w:p>
        </w:tc>
      </w:tr>
      <w:tr w:rsidTr="001F50C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87A9A" w:rsidP="00B87A9A">
            <w:pPr>
              <w:pStyle w:val="BodyText"/>
            </w:pPr>
            <w:r w:rsidRPr="00B87A9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87A9A">
            <w:pPr>
              <w:pStyle w:val="BodyText"/>
              <w:rPr>
                <w:lang w:val="en-NZ"/>
              </w:rPr>
            </w:pPr>
            <w:r w:rsidRPr="00B87A9A">
              <w:rPr>
                <w:rStyle w:val="Emphasis"/>
              </w:rPr>
              <w:t>Performance criteria describe the performance needed to demonstrate achievement of the element. Where bold italicised text is used, further information is detailed in the range of conditions.</w:t>
            </w:r>
          </w:p>
        </w:tc>
      </w:tr>
      <w:tr w:rsidTr="001F50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9A">
            <w:pPr>
              <w:pStyle w:val="BodyText"/>
              <w:rPr>
                <w:lang w:val="en-NZ"/>
              </w:rPr>
            </w:pPr>
            <w:r w:rsidRPr="00B87A9A">
              <w:t>1. Review legal and system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A9A" w:rsidP="00B87A9A">
            <w:pPr>
              <w:pStyle w:val="BodyText"/>
            </w:pPr>
            <w:r w:rsidRPr="00B87A9A">
              <w:t>1.1 Identify legal, saf</w:t>
            </w:r>
            <w:r w:rsidRPr="00B87A9A">
              <w:t>ety and environmental protection requirements for managing biohazards.</w:t>
            </w:r>
          </w:p>
          <w:p w:rsidR="00000000" w:rsidRPr="00B87A9A" w:rsidP="00B87A9A">
            <w:pPr>
              <w:pStyle w:val="BodyText"/>
            </w:pPr>
            <w:r w:rsidRPr="00B87A9A">
              <w:t>1.2 Review traceability chain for biohazard documentation to ensure compliance with appropriate standards.</w:t>
            </w:r>
          </w:p>
          <w:p w:rsidR="00000000" w:rsidRPr="00B87A9A" w:rsidP="00B87A9A">
            <w:pPr>
              <w:pStyle w:val="BodyText"/>
            </w:pPr>
            <w:r w:rsidRPr="00B87A9A">
              <w:t>1.3 Evaluate organisational biohazard contingency management practices.</w:t>
            </w:r>
          </w:p>
          <w:p w:rsidR="00000000" w:rsidP="00B87A9A">
            <w:pPr>
              <w:pStyle w:val="BodyText"/>
              <w:rPr>
                <w:lang w:val="en-NZ"/>
              </w:rPr>
            </w:pPr>
            <w:r w:rsidRPr="00B87A9A">
              <w:t>1.4 Id</w:t>
            </w:r>
            <w:r w:rsidRPr="00B87A9A">
              <w:t>entify communication protocols for inclusion in the contingency plan.</w:t>
            </w:r>
          </w:p>
        </w:tc>
      </w:tr>
      <w:tr w:rsidTr="001F50C9">
        <w:tblPrEx>
          <w:tblW w:w="0" w:type="auto"/>
          <w:tblCellMar>
            <w:left w:w="62" w:type="dxa"/>
            <w:right w:w="62" w:type="dxa"/>
          </w:tblCellMar>
          <w:tblLook w:val="0000"/>
        </w:tblPrEx>
        <w:trPr>
          <w:trHeight w:val="433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9A">
            <w:pPr>
              <w:pStyle w:val="BodyText"/>
              <w:rPr>
                <w:lang w:val="en-NZ"/>
              </w:rPr>
            </w:pPr>
            <w:r w:rsidRPr="00B87A9A">
              <w:t>2. Prepare a contingency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A9A" w:rsidP="00B87A9A">
            <w:pPr>
              <w:pStyle w:val="BodyText"/>
            </w:pPr>
            <w:r w:rsidRPr="00B87A9A">
              <w:t>2.1 Identify the range of potential biohazards present in organisational operations.</w:t>
            </w:r>
          </w:p>
          <w:p w:rsidR="00000000" w:rsidRPr="00B87A9A" w:rsidP="00B87A9A">
            <w:pPr>
              <w:pStyle w:val="BodyText"/>
            </w:pPr>
            <w:r w:rsidRPr="00B87A9A">
              <w:t>2.2 Estimate potential social, economic and e</w:t>
            </w:r>
            <w:r w:rsidRPr="00B87A9A">
              <w:t>nvironmental impacts of biohazard infestations.</w:t>
            </w:r>
          </w:p>
          <w:p w:rsidR="00000000" w:rsidRPr="00B87A9A" w:rsidP="00B87A9A">
            <w:pPr>
              <w:pStyle w:val="BodyText"/>
            </w:pPr>
            <w:r w:rsidRPr="00B87A9A">
              <w:t>2.3 Complete risk assessment for the potential of biohazard infestations.</w:t>
            </w:r>
          </w:p>
          <w:p w:rsidR="00000000" w:rsidRPr="00B87A9A" w:rsidP="00B87A9A">
            <w:pPr>
              <w:pStyle w:val="BodyText"/>
            </w:pPr>
            <w:r w:rsidRPr="00B87A9A">
              <w:t>2.4 Develop controls and action plans to limit the spread of infestation in that event; include in the contingency plan.</w:t>
            </w:r>
          </w:p>
          <w:p w:rsidR="00000000" w:rsidRPr="00B87A9A" w:rsidP="00B87A9A">
            <w:pPr>
              <w:pStyle w:val="BodyText"/>
            </w:pPr>
            <w:r w:rsidRPr="00B87A9A">
              <w:t>2.5 Review op</w:t>
            </w:r>
            <w:r w:rsidRPr="00B87A9A">
              <w:t>erational procedures to ensure adequate risk controls and contingency plan are in place.</w:t>
            </w:r>
          </w:p>
          <w:p w:rsidR="00000000" w:rsidRPr="00B87A9A" w:rsidP="00B87A9A">
            <w:pPr>
              <w:pStyle w:val="BodyText"/>
            </w:pPr>
            <w:r w:rsidRPr="00B87A9A">
              <w:t>2.6 Identify routine infestation treatments and action plans for inclusion in contingency plan.</w:t>
            </w:r>
          </w:p>
          <w:p w:rsidR="00000000" w:rsidRPr="00B87A9A" w:rsidP="00B87A9A">
            <w:pPr>
              <w:pStyle w:val="BodyText"/>
            </w:pPr>
            <w:r w:rsidRPr="00B87A9A">
              <w:t>2.7 Incorporate communication protocols in the contingency plan.</w:t>
            </w:r>
          </w:p>
          <w:p w:rsidR="00000000" w:rsidP="00B87A9A">
            <w:pPr>
              <w:pStyle w:val="BodyText"/>
              <w:rPr>
                <w:lang w:val="en-NZ"/>
              </w:rPr>
            </w:pPr>
            <w:r w:rsidRPr="00B87A9A">
              <w:t>2.8 Do</w:t>
            </w:r>
            <w:r w:rsidRPr="00B87A9A">
              <w:t xml:space="preserve">cument training and induction processes for workforce involved with the implementation of risk controls. </w:t>
            </w:r>
          </w:p>
        </w:tc>
      </w:tr>
      <w:tr w:rsidTr="001F50C9">
        <w:tblPrEx>
          <w:tblW w:w="0" w:type="auto"/>
          <w:tblCellMar>
            <w:left w:w="62" w:type="dxa"/>
            <w:right w:w="62" w:type="dxa"/>
          </w:tblCellMar>
          <w:tblLook w:val="0000"/>
        </w:tblPrEx>
        <w:trPr>
          <w:trHeight w:val="20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9A">
            <w:pPr>
              <w:pStyle w:val="BodyText"/>
              <w:rPr>
                <w:lang w:val="en-NZ"/>
              </w:rPr>
            </w:pPr>
            <w:r w:rsidRPr="00B87A9A">
              <w:t>3. Ensure effectiveness of contingency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A9A" w:rsidP="00B87A9A">
            <w:pPr>
              <w:pStyle w:val="BodyText"/>
            </w:pPr>
            <w:r w:rsidRPr="00B87A9A">
              <w:t>3.1 Organise support and resources to enable the ongoing functionality of the contingency plan.</w:t>
            </w:r>
          </w:p>
          <w:p w:rsidR="00000000" w:rsidRPr="00B87A9A" w:rsidP="00B87A9A">
            <w:pPr>
              <w:pStyle w:val="BodyText"/>
            </w:pPr>
            <w:r w:rsidRPr="00B87A9A">
              <w:t>3.2 Imple</w:t>
            </w:r>
            <w:r w:rsidRPr="00B87A9A">
              <w:t>ment continuous improvement processes to ensure plan remains effective and gain approval for changes.</w:t>
            </w:r>
          </w:p>
          <w:p w:rsidR="00000000" w:rsidRPr="00B87A9A" w:rsidP="00B87A9A">
            <w:pPr>
              <w:pStyle w:val="BodyText"/>
            </w:pPr>
            <w:r w:rsidRPr="00B87A9A">
              <w:t>3.3 Monitor activities on an ongoing basis to identify potential biohazard incidents and implement changes to plan.</w:t>
            </w:r>
          </w:p>
        </w:tc>
      </w:tr>
    </w:tbl>
    <w:p w:rsidR="00000000" w:rsidRPr="00B87A9A" w:rsidP="00B87A9A">
      <w:pPr>
        <w:pStyle w:val="BodyText"/>
      </w:pPr>
    </w:p>
    <w:p w:rsidR="00000000" w:rsidRPr="00B87A9A" w:rsidP="00B87A9A">
      <w:pPr>
        <w:pStyle w:val="AllowPageBreak"/>
      </w:pPr>
    </w:p>
    <w:p w:rsidR="00000000" w:rsidRPr="00B87A9A" w:rsidP="00B87A9A">
      <w:pPr>
        <w:pStyle w:val="Heading1"/>
      </w:pPr>
      <w:bookmarkStart w:id="6" w:name="O_719740"/>
      <w:bookmarkEnd w:id="6"/>
      <w:r w:rsidRPr="00B87A9A">
        <w:t>Foundation Skills</w:t>
      </w:r>
    </w:p>
    <w:tbl>
      <w:tblPr>
        <w:tblW w:w="0" w:type="auto"/>
        <w:tblCellMar>
          <w:left w:w="62" w:type="dxa"/>
          <w:right w:w="62" w:type="dxa"/>
        </w:tblCellMar>
        <w:tblLook w:val="0000"/>
      </w:tblPr>
      <w:tblGrid>
        <w:gridCol w:w="2086"/>
        <w:gridCol w:w="7110"/>
      </w:tblGrid>
      <w:tr w:rsidTr="001F50C9">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9A">
            <w:pPr>
              <w:pStyle w:val="BodyText"/>
              <w:rPr>
                <w:lang w:val="en-NZ"/>
              </w:rPr>
            </w:pPr>
            <w:r w:rsidRPr="00B87A9A">
              <w:rPr>
                <w:rStyle w:val="Emphasis"/>
              </w:rPr>
              <w:t>This section describes those core and employment skills that are essential to performance and are not explicit in the performance criteria.</w:t>
            </w:r>
          </w:p>
        </w:tc>
      </w:tr>
      <w:tr w:rsidTr="001F50C9">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9A">
            <w:pPr>
              <w:pStyle w:val="BodyText"/>
              <w:rPr>
                <w:lang w:val="en-NZ"/>
              </w:rPr>
            </w:pPr>
            <w:r w:rsidRPr="00B87A9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9A">
            <w:pPr>
              <w:pStyle w:val="ListBullet"/>
              <w:rPr>
                <w:lang w:val="en-NZ"/>
              </w:rPr>
            </w:pPr>
            <w:r w:rsidRPr="00B87A9A">
              <w:t>Calculate complex numerical data to establish economic impacts of biohazard infestations.</w:t>
            </w:r>
          </w:p>
        </w:tc>
      </w:tr>
      <w:tr w:rsidTr="001F50C9">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9A">
            <w:pPr>
              <w:pStyle w:val="BodyText"/>
              <w:rPr>
                <w:lang w:val="en-NZ"/>
              </w:rPr>
            </w:pPr>
            <w:r w:rsidRPr="00B87A9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9A">
            <w:pPr>
              <w:pStyle w:val="ListBullet"/>
              <w:rPr>
                <w:lang w:val="en-NZ"/>
              </w:rPr>
            </w:pPr>
            <w:r w:rsidRPr="00B87A9A">
              <w:t>Interpret complex information in a range of internal and external source documents to develop effective biohazard contingency plans.</w:t>
            </w:r>
          </w:p>
        </w:tc>
      </w:tr>
      <w:tr w:rsidTr="001F50C9">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9A">
            <w:pPr>
              <w:pStyle w:val="BodyText"/>
              <w:rPr>
                <w:lang w:val="en-NZ"/>
              </w:rPr>
            </w:pPr>
            <w:r w:rsidRPr="00B87A9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9A">
            <w:pPr>
              <w:pStyle w:val="ListBullet"/>
              <w:rPr>
                <w:lang w:val="en-NZ"/>
              </w:rPr>
            </w:pPr>
            <w:r w:rsidRPr="00B87A9A">
              <w:t>Develop and document comprehensive biohazard contingency plans in a style and form</w:t>
            </w:r>
            <w:r w:rsidRPr="00B87A9A">
              <w:t>at easily understood by the full scope of organisational employees.</w:t>
            </w:r>
          </w:p>
        </w:tc>
      </w:tr>
      <w:tr w:rsidTr="001F50C9">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9A">
            <w:pPr>
              <w:pStyle w:val="BodyText"/>
              <w:rPr>
                <w:lang w:val="en-NZ"/>
              </w:rPr>
            </w:pPr>
            <w:r w:rsidRPr="00B87A9A">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A9A" w:rsidP="00B87A9A">
            <w:pPr>
              <w:pStyle w:val="ListBullet"/>
            </w:pPr>
            <w:r w:rsidRPr="00B87A9A">
              <w:t>Source, collect and organise a range of data to inform biohazard contingency plans.</w:t>
            </w:r>
          </w:p>
          <w:p w:rsidR="00000000" w:rsidP="00B87A9A">
            <w:pPr>
              <w:pStyle w:val="ListBullet"/>
              <w:rPr>
                <w:lang w:val="en-NZ"/>
              </w:rPr>
            </w:pPr>
            <w:r w:rsidRPr="00B87A9A">
              <w:t>Plan and manage own timing and productivity to complete initial and</w:t>
            </w:r>
            <w:r w:rsidRPr="00B87A9A">
              <w:t xml:space="preserve"> amended plans.</w:t>
            </w:r>
          </w:p>
        </w:tc>
      </w:tr>
      <w:tr w:rsidTr="001F50C9">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9A">
            <w:pPr>
              <w:pStyle w:val="BodyText"/>
              <w:rPr>
                <w:lang w:val="en-NZ"/>
              </w:rPr>
            </w:pPr>
            <w:r w:rsidRPr="00B87A9A">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A9A" w:rsidP="00B87A9A">
            <w:pPr>
              <w:pStyle w:val="ListBullet"/>
            </w:pPr>
            <w:r w:rsidRPr="00B87A9A">
              <w:t>Use a computer, keyboard and software to prepare biohazard contingency plans.</w:t>
            </w:r>
          </w:p>
        </w:tc>
      </w:tr>
    </w:tbl>
    <w:p w:rsidR="00000000" w:rsidRPr="00B87A9A" w:rsidP="00B87A9A">
      <w:pPr>
        <w:pStyle w:val="BodyText"/>
      </w:pPr>
    </w:p>
    <w:p w:rsidR="00000000" w:rsidRPr="00B87A9A" w:rsidP="00B87A9A">
      <w:pPr>
        <w:pStyle w:val="AllowPageBreak"/>
      </w:pPr>
    </w:p>
    <w:p w:rsidR="00000000" w:rsidRPr="00B87A9A" w:rsidP="00B87A9A">
      <w:pPr>
        <w:pStyle w:val="Heading1"/>
      </w:pPr>
      <w:bookmarkStart w:id="7" w:name="O_719742"/>
      <w:bookmarkEnd w:id="7"/>
      <w:r w:rsidRPr="00B87A9A">
        <w:t>Unit Mapping Information</w:t>
      </w:r>
    </w:p>
    <w:p w:rsidR="00000000" w:rsidRPr="00B87A9A" w:rsidP="001F50C9">
      <w:pPr>
        <w:pStyle w:val="BodyText"/>
      </w:pPr>
      <w:r w:rsidRPr="00B87A9A">
        <w:t>FPICOT5205A Develop biohazard contingency plans</w:t>
      </w:r>
    </w:p>
    <w:p w:rsidR="00000000" w:rsidRPr="00B87A9A" w:rsidP="00B87A9A">
      <w:pPr>
        <w:pStyle w:val="Heading1"/>
      </w:pPr>
      <w:bookmarkStart w:id="8" w:name="O_719749"/>
      <w:bookmarkEnd w:id="8"/>
      <w:r w:rsidRPr="00B87A9A">
        <w:t>Links</w:t>
      </w:r>
    </w:p>
    <w:p w:rsidR="00000000" w:rsidRPr="00B87A9A" w:rsidP="001F50C9">
      <w:pPr>
        <w:pStyle w:val="BodyText"/>
      </w:pPr>
      <w:r w:rsidRPr="00B87A9A">
        <w:t>Companion Volume imp</w:t>
      </w:r>
      <w:r w:rsidRPr="00B87A9A">
        <w:t xml:space="preserve">lementation guides are found in VETNet - </w:t>
      </w:r>
      <w:r>
        <w:fldChar w:fldCharType="begin"/>
      </w:r>
      <w:r>
        <w:instrText xml:space="preserve"> HYPERLINK "https://vetnet.gov.au/Pages/TrainingDocs.aspx?q=0d96fe23-5747-4c01-9d6f-3509ff8d3d47" </w:instrText>
      </w:r>
      <w:r>
        <w:fldChar w:fldCharType="separate"/>
      </w:r>
      <w:r w:rsidRPr="007D65CF">
        <w:rPr>
          <w:rStyle w:val="Hyperlink"/>
        </w:rPr>
        <w:t>https://vetnet.gov.au/Pages/TrainingDocs.aspx?q=0d96fe23-5747-4c01-9d6f-3509ff8d3d47</w:t>
      </w:r>
      <w:r>
        <w:fldChar w:fldCharType="end"/>
      </w:r>
    </w:p>
    <w:p w:rsidR="00000000" w:rsidRPr="00B87A9A" w:rsidP="00B87A9A"/>
    <w:sectPr w:rsidSect="00B87A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9A" w:rsidRPr="001F50C9" w:rsidP="001F50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0C9" w:rsidP="00B87A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50C9" w:rsidP="00B87A9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F50C9" w:rsidP="00B87A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0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A9A" w:rsidRPr="001F50C9" w:rsidP="001F50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0C9" w:rsidRPr="002D2AF8" w:rsidP="00B87A9A">
    <w:pPr>
      <w:pStyle w:val="Header"/>
      <w:framePr w:wrap="around"/>
    </w:pPr>
    <w:r>
      <w:fldChar w:fldCharType="begin"/>
    </w:r>
    <w:r>
      <w:instrText xml:space="preserve"> TITLE   \* MERGEFORMAT </w:instrText>
    </w:r>
    <w:r>
      <w:fldChar w:fldCharType="separate"/>
    </w:r>
    <w:r>
      <w:t>FWPCOT5205 Develop biohazard contingency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1F50C9" w:rsidP="00B87A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1030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CED7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A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A9A"/>
    <w:pPr>
      <w:spacing w:before="360" w:after="60"/>
      <w:outlineLvl w:val="0"/>
    </w:pPr>
    <w:rPr>
      <w:sz w:val="32"/>
    </w:rPr>
  </w:style>
  <w:style w:type="paragraph" w:styleId="Heading2">
    <w:name w:val="heading 2"/>
    <w:basedOn w:val="HeadingBase"/>
    <w:next w:val="BodyText"/>
    <w:link w:val="Heading2Char"/>
    <w:qFormat/>
    <w:rsid w:val="00B87A9A"/>
    <w:pPr>
      <w:keepLines/>
      <w:spacing w:before="240" w:after="120"/>
      <w:outlineLvl w:val="1"/>
    </w:pPr>
    <w:rPr>
      <w:sz w:val="28"/>
      <w:szCs w:val="40"/>
    </w:rPr>
  </w:style>
  <w:style w:type="paragraph" w:styleId="Heading3">
    <w:name w:val="heading 3"/>
    <w:basedOn w:val="HeadingBase"/>
    <w:next w:val="BodyText"/>
    <w:link w:val="Heading3Char"/>
    <w:qFormat/>
    <w:rsid w:val="00B87A9A"/>
    <w:pPr>
      <w:spacing w:before="180" w:after="120"/>
      <w:outlineLvl w:val="2"/>
    </w:pPr>
    <w:rPr>
      <w:spacing w:val="-10"/>
      <w:kern w:val="32"/>
    </w:rPr>
  </w:style>
  <w:style w:type="paragraph" w:styleId="Heading4">
    <w:name w:val="heading 4"/>
    <w:basedOn w:val="HeadingBase"/>
    <w:next w:val="BodyText"/>
    <w:link w:val="Heading4Char"/>
    <w:qFormat/>
    <w:rsid w:val="00B87A9A"/>
    <w:pPr>
      <w:spacing w:before="160" w:after="120"/>
      <w:outlineLvl w:val="3"/>
    </w:pPr>
    <w:rPr>
      <w:sz w:val="22"/>
    </w:rPr>
  </w:style>
  <w:style w:type="paragraph" w:styleId="Heading5">
    <w:name w:val="heading 5"/>
    <w:basedOn w:val="HeadingBase"/>
    <w:next w:val="Normal"/>
    <w:link w:val="Heading5Char"/>
    <w:qFormat/>
    <w:rsid w:val="00B87A9A"/>
    <w:pPr>
      <w:spacing w:before="80"/>
      <w:outlineLvl w:val="4"/>
    </w:pPr>
    <w:rPr>
      <w:color w:val="918585"/>
      <w:sz w:val="20"/>
    </w:rPr>
  </w:style>
  <w:style w:type="paragraph" w:styleId="Heading6">
    <w:name w:val="heading 6"/>
    <w:basedOn w:val="HeadingBase"/>
    <w:next w:val="Normal"/>
    <w:link w:val="Heading6Char"/>
    <w:qFormat/>
    <w:rsid w:val="00B87A9A"/>
    <w:pPr>
      <w:spacing w:before="60"/>
      <w:outlineLvl w:val="5"/>
    </w:pPr>
    <w:rPr>
      <w:color w:val="918585"/>
      <w:sz w:val="20"/>
    </w:rPr>
  </w:style>
  <w:style w:type="paragraph" w:styleId="Heading7">
    <w:name w:val="heading 7"/>
    <w:basedOn w:val="Normal"/>
    <w:next w:val="Normal"/>
    <w:link w:val="Heading7Char"/>
    <w:qFormat/>
    <w:rsid w:val="00B87A9A"/>
    <w:pPr>
      <w:ind w:left="720"/>
      <w:outlineLvl w:val="6"/>
    </w:pPr>
    <w:rPr>
      <w:i/>
    </w:rPr>
  </w:style>
  <w:style w:type="paragraph" w:styleId="Heading8">
    <w:name w:val="heading 8"/>
    <w:basedOn w:val="Normal"/>
    <w:next w:val="Normal"/>
    <w:link w:val="Heading8Char"/>
    <w:qFormat/>
    <w:rsid w:val="00B87A9A"/>
    <w:pPr>
      <w:ind w:left="720"/>
      <w:outlineLvl w:val="7"/>
    </w:pPr>
    <w:rPr>
      <w:i/>
    </w:rPr>
  </w:style>
  <w:style w:type="paragraph" w:styleId="Heading9">
    <w:name w:val="heading 9"/>
    <w:basedOn w:val="Normal"/>
    <w:next w:val="Normal"/>
    <w:link w:val="Heading9Char"/>
    <w:qFormat/>
    <w:rsid w:val="00B87A9A"/>
    <w:pPr>
      <w:ind w:left="720"/>
      <w:outlineLvl w:val="8"/>
    </w:pPr>
    <w:rPr>
      <w:i/>
    </w:rPr>
  </w:style>
  <w:style w:type="character" w:default="1" w:styleId="DefaultParagraphFont">
    <w:name w:val="Default Paragraph Font"/>
    <w:uiPriority w:val="1"/>
    <w:unhideWhenUsed/>
    <w:rsid w:val="00B87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A9A"/>
  </w:style>
  <w:style w:type="character" w:customStyle="1" w:styleId="Heading1Char">
    <w:name w:val="Heading 1 Char"/>
    <w:basedOn w:val="DefaultParagraphFont"/>
    <w:link w:val="Heading1"/>
    <w:rsid w:val="00B87A9A"/>
    <w:rPr>
      <w:rFonts w:ascii="Times New Roman" w:eastAsia="Times New Roman" w:hAnsi="Times New Roman" w:cs="Times New Roman"/>
      <w:b/>
      <w:sz w:val="32"/>
      <w:szCs w:val="20"/>
      <w:lang w:eastAsia="en-US"/>
    </w:rPr>
  </w:style>
  <w:style w:type="paragraph" w:styleId="BodyText">
    <w:name w:val="Body Text"/>
    <w:basedOn w:val="Normal"/>
    <w:link w:val="BodyTextChar"/>
    <w:rsid w:val="00B87A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A9A"/>
    <w:rPr>
      <w:rFonts w:ascii="Times New Roman" w:eastAsia="Times New Roman" w:hAnsi="Times New Roman" w:cs="Times New Roman"/>
      <w:sz w:val="24"/>
      <w:lang w:eastAsia="en-US"/>
    </w:rPr>
  </w:style>
  <w:style w:type="paragraph" w:styleId="ListBullet">
    <w:name w:val="List Bullet"/>
    <w:basedOn w:val="List"/>
    <w:rsid w:val="00B87A9A"/>
    <w:pPr>
      <w:numPr>
        <w:numId w:val="11"/>
      </w:numPr>
      <w:tabs>
        <w:tab w:val="clear" w:pos="340"/>
      </w:tabs>
      <w:spacing w:before="40" w:after="40"/>
    </w:pPr>
  </w:style>
  <w:style w:type="character" w:customStyle="1" w:styleId="SpecialBold">
    <w:name w:val="Special Bold"/>
    <w:basedOn w:val="DefaultParagraphFont"/>
    <w:rsid w:val="00B87A9A"/>
    <w:rPr>
      <w:b/>
      <w:spacing w:val="0"/>
    </w:rPr>
  </w:style>
  <w:style w:type="character" w:styleId="Emphasis">
    <w:name w:val="Emphasis"/>
    <w:basedOn w:val="DefaultParagraphFont"/>
    <w:qFormat/>
    <w:rsid w:val="00B87A9A"/>
    <w:rPr>
      <w:i/>
    </w:rPr>
  </w:style>
  <w:style w:type="paragraph" w:customStyle="1" w:styleId="SuperHeading">
    <w:name w:val="SuperHeading"/>
    <w:basedOn w:val="Normal"/>
    <w:rsid w:val="00B87A9A"/>
    <w:pPr>
      <w:spacing w:before="240" w:after="120"/>
      <w:outlineLvl w:val="0"/>
    </w:pPr>
    <w:rPr>
      <w:rFonts w:ascii="Times New Roman" w:hAnsi="Times New Roman"/>
      <w:b/>
      <w:sz w:val="32"/>
    </w:rPr>
  </w:style>
  <w:style w:type="paragraph" w:customStyle="1" w:styleId="AllowPageBreak">
    <w:name w:val="AllowPageBreak"/>
    <w:rsid w:val="00B87A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A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A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A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A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A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A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A9A"/>
    <w:rPr>
      <w:rFonts w:ascii="Courier New" w:eastAsia="Times New Roman" w:hAnsi="Courier New" w:cs="Times New Roman"/>
      <w:i/>
      <w:szCs w:val="20"/>
      <w:lang w:eastAsia="en-US"/>
    </w:rPr>
  </w:style>
  <w:style w:type="paragraph" w:customStyle="1" w:styleId="HeadingBase">
    <w:name w:val="Heading Base"/>
    <w:rsid w:val="00B87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A9A"/>
    <w:pPr>
      <w:tabs>
        <w:tab w:val="right" w:leader="dot" w:pos="9072"/>
      </w:tabs>
      <w:ind w:left="567"/>
    </w:pPr>
    <w:rPr>
      <w:szCs w:val="22"/>
    </w:rPr>
  </w:style>
  <w:style w:type="paragraph" w:customStyle="1" w:styleId="TOCBase">
    <w:name w:val="TOC Base"/>
    <w:rsid w:val="00B87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A9A"/>
    <w:pPr>
      <w:tabs>
        <w:tab w:val="right" w:leader="dot" w:pos="9072"/>
      </w:tabs>
      <w:spacing w:before="40" w:after="40"/>
      <w:ind w:left="284"/>
    </w:pPr>
    <w:rPr>
      <w:rFonts w:ascii="Times New Roman" w:hAnsi="Times New Roman"/>
    </w:rPr>
  </w:style>
  <w:style w:type="paragraph" w:styleId="TOC1">
    <w:name w:val="toc 1"/>
    <w:basedOn w:val="TOCBase"/>
    <w:next w:val="Normal"/>
    <w:rsid w:val="00B87A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A9A"/>
    <w:rPr>
      <w:rFonts w:ascii="Times New Roman" w:eastAsia="Times New Roman" w:hAnsi="Times New Roman" w:cs="Times New Roman"/>
      <w:sz w:val="16"/>
      <w:lang w:eastAsia="en-US"/>
    </w:rPr>
  </w:style>
  <w:style w:type="paragraph" w:styleId="Title">
    <w:name w:val="Title"/>
    <w:basedOn w:val="HeadingBase"/>
    <w:link w:val="TitleChar"/>
    <w:qFormat/>
    <w:rsid w:val="00B87A9A"/>
    <w:pPr>
      <w:spacing w:before="5040"/>
      <w:jc w:val="center"/>
    </w:pPr>
    <w:rPr>
      <w:sz w:val="48"/>
      <w:szCs w:val="72"/>
      <w:lang w:val="en-US"/>
    </w:rPr>
  </w:style>
  <w:style w:type="character" w:customStyle="1" w:styleId="TitleChar">
    <w:name w:val="Title Char"/>
    <w:basedOn w:val="DefaultParagraphFont"/>
    <w:link w:val="Title"/>
    <w:rsid w:val="00B87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A9A"/>
    <w:pPr>
      <w:tabs>
        <w:tab w:val="left" w:pos="3600"/>
        <w:tab w:val="left" w:pos="3958"/>
      </w:tabs>
    </w:pPr>
  </w:style>
  <w:style w:type="paragraph" w:styleId="List">
    <w:name w:val="List"/>
    <w:basedOn w:val="BodyText"/>
    <w:next w:val="BodyText"/>
    <w:rsid w:val="00B87A9A"/>
    <w:pPr>
      <w:tabs>
        <w:tab w:val="left" w:pos="340"/>
      </w:tabs>
      <w:spacing w:before="60" w:after="60"/>
      <w:ind w:left="340" w:hanging="340"/>
    </w:pPr>
  </w:style>
  <w:style w:type="paragraph" w:customStyle="1" w:styleId="Note">
    <w:name w:val="Note"/>
    <w:basedOn w:val="BodyText"/>
    <w:rsid w:val="00B87A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A9A"/>
    <w:pPr>
      <w:framePr w:wrap="auto" w:hAnchor="text" w:y="6049"/>
    </w:pPr>
    <w:rPr>
      <w:color w:val="000000"/>
      <w:sz w:val="40"/>
    </w:rPr>
  </w:style>
  <w:style w:type="paragraph" w:customStyle="1" w:styleId="TOCTitle">
    <w:name w:val="TOCTitle"/>
    <w:basedOn w:val="Heading1"/>
    <w:rsid w:val="00B87A9A"/>
    <w:pPr>
      <w:spacing w:after="240"/>
      <w:jc w:val="center"/>
      <w:outlineLvl w:val="9"/>
    </w:pPr>
    <w:rPr>
      <w:caps/>
    </w:rPr>
  </w:style>
  <w:style w:type="paragraph" w:customStyle="1" w:styleId="Version">
    <w:name w:val="Version"/>
    <w:rsid w:val="00B87A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7A9A"/>
    <w:pPr>
      <w:numPr>
        <w:numId w:val="12"/>
      </w:numPr>
      <w:tabs>
        <w:tab w:val="clear" w:pos="680"/>
      </w:tabs>
    </w:pPr>
  </w:style>
  <w:style w:type="paragraph" w:styleId="Index1">
    <w:name w:val="index 1"/>
    <w:basedOn w:val="Normal"/>
    <w:next w:val="Normal"/>
    <w:semiHidden/>
    <w:rsid w:val="00B87A9A"/>
    <w:pPr>
      <w:keepNext w:val="0"/>
      <w:tabs>
        <w:tab w:val="right" w:pos="4176"/>
      </w:tabs>
      <w:ind w:left="198" w:hanging="198"/>
    </w:pPr>
    <w:rPr>
      <w:rFonts w:ascii="Garamond" w:hAnsi="Garamond"/>
    </w:rPr>
  </w:style>
  <w:style w:type="paragraph" w:styleId="IndexHeading">
    <w:name w:val="index heading"/>
    <w:basedOn w:val="Normal"/>
    <w:next w:val="Index1"/>
    <w:semiHidden/>
    <w:rsid w:val="00B87A9A"/>
    <w:pPr>
      <w:spacing w:before="120" w:after="120"/>
    </w:pPr>
    <w:rPr>
      <w:rFonts w:ascii="Arial" w:hAnsi="Arial"/>
      <w:b/>
      <w:color w:val="918585"/>
      <w:sz w:val="24"/>
    </w:rPr>
  </w:style>
  <w:style w:type="paragraph" w:styleId="Header">
    <w:name w:val="header"/>
    <w:basedOn w:val="Normal"/>
    <w:link w:val="HeaderChar"/>
    <w:rsid w:val="00B87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A9A"/>
    <w:rPr>
      <w:rFonts w:ascii="Times New Roman" w:eastAsia="Times New Roman" w:hAnsi="Times New Roman" w:cs="Times New Roman"/>
      <w:sz w:val="16"/>
      <w:szCs w:val="20"/>
      <w:lang w:val="en-GB" w:eastAsia="en-US"/>
    </w:rPr>
  </w:style>
  <w:style w:type="paragraph" w:customStyle="1" w:styleId="Chapter">
    <w:name w:val="Chapter"/>
    <w:basedOn w:val="Normal"/>
    <w:rsid w:val="00B87A9A"/>
    <w:pPr>
      <w:spacing w:before="240"/>
    </w:pPr>
    <w:rPr>
      <w:rFonts w:ascii="Times New Roman" w:hAnsi="Times New Roman"/>
      <w:smallCaps/>
      <w:spacing w:val="80"/>
      <w:sz w:val="28"/>
    </w:rPr>
  </w:style>
  <w:style w:type="paragraph" w:customStyle="1" w:styleId="InChapter">
    <w:name w:val="InChapter"/>
    <w:basedOn w:val="Heading3"/>
    <w:rsid w:val="00B87A9A"/>
    <w:pPr>
      <w:spacing w:after="240"/>
      <w:outlineLvl w:val="9"/>
    </w:pPr>
    <w:rPr>
      <w:noProof/>
    </w:rPr>
  </w:style>
  <w:style w:type="paragraph" w:styleId="Index2">
    <w:name w:val="index 2"/>
    <w:basedOn w:val="Normal"/>
    <w:next w:val="Normal"/>
    <w:semiHidden/>
    <w:rsid w:val="00B87A9A"/>
    <w:pPr>
      <w:tabs>
        <w:tab w:val="right" w:pos="4176"/>
      </w:tabs>
      <w:ind w:left="568" w:hanging="284"/>
    </w:pPr>
    <w:rPr>
      <w:rFonts w:ascii="Garamond" w:hAnsi="Garamond"/>
    </w:rPr>
  </w:style>
  <w:style w:type="paragraph" w:customStyle="1" w:styleId="Byline">
    <w:name w:val="Byline"/>
    <w:rsid w:val="00B87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A9A"/>
    <w:pPr>
      <w:tabs>
        <w:tab w:val="clear" w:pos="3600"/>
        <w:tab w:val="clear" w:pos="3958"/>
      </w:tabs>
      <w:jc w:val="right"/>
    </w:pPr>
  </w:style>
  <w:style w:type="paragraph" w:styleId="Caption">
    <w:name w:val="caption"/>
    <w:basedOn w:val="BodyText"/>
    <w:next w:val="Normal"/>
    <w:qFormat/>
    <w:rsid w:val="00B87A9A"/>
    <w:pPr>
      <w:framePr w:w="2268" w:hSpace="181" w:vSpace="181" w:wrap="around" w:vAnchor="text" w:hAnchor="page" w:x="1135" w:y="285" w:anchorLock="1"/>
    </w:pPr>
    <w:rPr>
      <w:i/>
    </w:rPr>
  </w:style>
  <w:style w:type="paragraph" w:customStyle="1" w:styleId="MiniTOCTitle">
    <w:name w:val="MiniTOCTitle"/>
    <w:basedOn w:val="Heading4"/>
    <w:rsid w:val="00B87A9A"/>
    <w:pPr>
      <w:spacing w:before="240"/>
      <w:outlineLvl w:val="9"/>
    </w:pPr>
    <w:rPr>
      <w:noProof/>
      <w:sz w:val="24"/>
    </w:rPr>
  </w:style>
  <w:style w:type="paragraph" w:customStyle="1" w:styleId="MiniTOCItem">
    <w:name w:val="MiniTOCItem"/>
    <w:basedOn w:val="ListBullet"/>
    <w:rsid w:val="00B87A9A"/>
    <w:pPr>
      <w:numPr>
        <w:numId w:val="0"/>
      </w:numPr>
      <w:tabs>
        <w:tab w:val="right" w:leader="dot" w:pos="6521"/>
      </w:tabs>
      <w:spacing w:before="0" w:after="0"/>
    </w:pPr>
  </w:style>
  <w:style w:type="paragraph" w:customStyle="1" w:styleId="TOFTitle">
    <w:name w:val="TOFTitle"/>
    <w:basedOn w:val="TOCTitle"/>
    <w:rsid w:val="00B87A9A"/>
  </w:style>
  <w:style w:type="paragraph" w:styleId="TableofFigures">
    <w:name w:val="table of figures"/>
    <w:basedOn w:val="Normal"/>
    <w:next w:val="Normal"/>
    <w:semiHidden/>
    <w:rsid w:val="00B87A9A"/>
    <w:pPr>
      <w:tabs>
        <w:tab w:val="right" w:leader="dot" w:pos="9072"/>
      </w:tabs>
      <w:ind w:left="970" w:hanging="403"/>
    </w:pPr>
    <w:rPr>
      <w:rFonts w:ascii="Times New Roman" w:hAnsi="Times New Roman"/>
      <w:b/>
    </w:rPr>
  </w:style>
  <w:style w:type="paragraph" w:styleId="ListNumber">
    <w:name w:val="List Number"/>
    <w:basedOn w:val="List"/>
    <w:rsid w:val="00B87A9A"/>
    <w:pPr>
      <w:numPr>
        <w:numId w:val="14"/>
      </w:numPr>
      <w:tabs>
        <w:tab w:val="clear" w:pos="340"/>
      </w:tabs>
    </w:pPr>
  </w:style>
  <w:style w:type="character" w:customStyle="1" w:styleId="WingdingSymbols">
    <w:name w:val="Wingding Symbols"/>
    <w:rsid w:val="00B87A9A"/>
    <w:rPr>
      <w:rFonts w:ascii="Wingdings" w:hAnsi="Wingdings"/>
    </w:rPr>
  </w:style>
  <w:style w:type="paragraph" w:customStyle="1" w:styleId="TableHeading">
    <w:name w:val="Table Heading"/>
    <w:basedOn w:val="HeadingBase"/>
    <w:rsid w:val="00B87A9A"/>
    <w:pPr>
      <w:keepLines/>
      <w:pBdr>
        <w:bottom w:val="single" w:sz="6" w:space="1" w:color="918585"/>
      </w:pBdr>
      <w:spacing w:before="240"/>
    </w:pPr>
  </w:style>
  <w:style w:type="character" w:customStyle="1" w:styleId="HotSpot">
    <w:name w:val="HotSpot"/>
    <w:rsid w:val="00B87A9A"/>
    <w:rPr>
      <w:color w:val="0033CC"/>
      <w:u w:val="none"/>
    </w:rPr>
  </w:style>
  <w:style w:type="paragraph" w:customStyle="1" w:styleId="BodyTextRight">
    <w:name w:val="Body Text Right"/>
    <w:basedOn w:val="BodyText"/>
    <w:rsid w:val="00B87A9A"/>
    <w:pPr>
      <w:spacing w:before="0" w:after="0"/>
      <w:jc w:val="right"/>
    </w:pPr>
  </w:style>
  <w:style w:type="paragraph" w:styleId="Index3">
    <w:name w:val="index 3"/>
    <w:basedOn w:val="ListNumber2"/>
    <w:next w:val="Normal"/>
    <w:semiHidden/>
    <w:rsid w:val="00B87A9A"/>
    <w:pPr>
      <w:numPr>
        <w:numId w:val="0"/>
      </w:numPr>
      <w:tabs>
        <w:tab w:val="right" w:leader="dot" w:pos="4176"/>
      </w:tabs>
    </w:pPr>
  </w:style>
  <w:style w:type="paragraph" w:styleId="ListNumber2">
    <w:name w:val="List Number 2"/>
    <w:basedOn w:val="List2"/>
    <w:rsid w:val="00B87A9A"/>
    <w:pPr>
      <w:numPr>
        <w:numId w:val="9"/>
      </w:numPr>
      <w:tabs>
        <w:tab w:val="clear" w:pos="1060"/>
      </w:tabs>
    </w:pPr>
  </w:style>
  <w:style w:type="paragraph" w:customStyle="1" w:styleId="MarginNote">
    <w:name w:val="Margin Note"/>
    <w:basedOn w:val="BodyText"/>
    <w:rsid w:val="00B87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A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A9A"/>
    <w:rPr>
      <w:sz w:val="32"/>
    </w:rPr>
  </w:style>
  <w:style w:type="paragraph" w:customStyle="1" w:styleId="HeadingProcedure">
    <w:name w:val="Heading Procedure"/>
    <w:basedOn w:val="HeadingBase"/>
    <w:next w:val="Normal"/>
    <w:rsid w:val="00B87A9A"/>
    <w:pPr>
      <w:tabs>
        <w:tab w:val="left" w:pos="0"/>
      </w:tabs>
      <w:spacing w:before="120" w:after="60"/>
    </w:pPr>
    <w:rPr>
      <w:i/>
      <w:color w:val="918585"/>
      <w:sz w:val="22"/>
    </w:rPr>
  </w:style>
  <w:style w:type="paragraph" w:customStyle="1" w:styleId="TableBodyText">
    <w:name w:val="Table Body Text"/>
    <w:basedOn w:val="BodyText"/>
    <w:rsid w:val="00B87A9A"/>
    <w:pPr>
      <w:spacing w:before="60" w:after="60"/>
    </w:pPr>
  </w:style>
  <w:style w:type="paragraph" w:styleId="ListContinue">
    <w:name w:val="List Continue"/>
    <w:basedOn w:val="List"/>
    <w:rsid w:val="00B87A9A"/>
    <w:pPr>
      <w:ind w:firstLine="0"/>
    </w:pPr>
  </w:style>
  <w:style w:type="paragraph" w:customStyle="1" w:styleId="ListNote">
    <w:name w:val="List Note"/>
    <w:basedOn w:val="List"/>
    <w:rsid w:val="00B87A9A"/>
    <w:pPr>
      <w:pBdr>
        <w:top w:val="single" w:sz="6" w:space="2" w:color="918585"/>
        <w:bottom w:val="single" w:sz="6" w:space="2" w:color="918585"/>
      </w:pBdr>
      <w:tabs>
        <w:tab w:val="left" w:pos="1021"/>
      </w:tabs>
      <w:ind w:firstLine="0"/>
    </w:pPr>
  </w:style>
  <w:style w:type="paragraph" w:customStyle="1" w:styleId="Warning">
    <w:name w:val="Warning"/>
    <w:basedOn w:val="BodyText"/>
    <w:rsid w:val="00B87A9A"/>
    <w:pPr>
      <w:shd w:val="clear" w:color="auto" w:fill="D9D9D9"/>
      <w:tabs>
        <w:tab w:val="left" w:pos="992"/>
      </w:tabs>
      <w:ind w:left="119" w:right="119"/>
    </w:pPr>
    <w:rPr>
      <w:sz w:val="20"/>
    </w:rPr>
  </w:style>
  <w:style w:type="paragraph" w:customStyle="1" w:styleId="MarginIcons">
    <w:name w:val="Margin Icons"/>
    <w:basedOn w:val="BodyText"/>
    <w:rsid w:val="00B87A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A9A"/>
    <w:rPr>
      <w:rFonts w:ascii="Courier New" w:hAnsi="Courier New"/>
    </w:rPr>
  </w:style>
  <w:style w:type="paragraph" w:customStyle="1" w:styleId="NoteBullet">
    <w:name w:val="Note Bullet"/>
    <w:basedOn w:val="Note"/>
    <w:rsid w:val="00B87A9A"/>
    <w:pPr>
      <w:tabs>
        <w:tab w:val="clear" w:pos="680"/>
      </w:tabs>
      <w:spacing w:before="60" w:after="60"/>
    </w:pPr>
  </w:style>
  <w:style w:type="paragraph" w:customStyle="1" w:styleId="SubHeading2">
    <w:name w:val="SubHeading2"/>
    <w:basedOn w:val="HeadingBase"/>
    <w:rsid w:val="00B87A9A"/>
    <w:pPr>
      <w:spacing w:before="240" w:after="60"/>
    </w:pPr>
    <w:rPr>
      <w:sz w:val="20"/>
    </w:rPr>
  </w:style>
  <w:style w:type="paragraph" w:customStyle="1" w:styleId="SubHeading1">
    <w:name w:val="SubHeading1"/>
    <w:basedOn w:val="HeadingBase"/>
    <w:rsid w:val="00B87A9A"/>
    <w:pPr>
      <w:spacing w:before="240" w:after="60"/>
    </w:pPr>
    <w:rPr>
      <w:color w:val="918585"/>
      <w:sz w:val="22"/>
    </w:rPr>
  </w:style>
  <w:style w:type="paragraph" w:customStyle="1" w:styleId="SideHeading">
    <w:name w:val="Side Heading"/>
    <w:basedOn w:val="HeadingBase"/>
    <w:rsid w:val="00B87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A9A"/>
    <w:pPr>
      <w:numPr>
        <w:numId w:val="10"/>
      </w:numPr>
    </w:pPr>
  </w:style>
  <w:style w:type="paragraph" w:styleId="PlainText">
    <w:name w:val="Plain Text"/>
    <w:basedOn w:val="Normal"/>
    <w:link w:val="PlainTextChar"/>
    <w:rsid w:val="00B87A9A"/>
    <w:rPr>
      <w:sz w:val="20"/>
    </w:rPr>
  </w:style>
  <w:style w:type="character" w:customStyle="1" w:styleId="PlainTextChar">
    <w:name w:val="Plain Text Char"/>
    <w:basedOn w:val="DefaultParagraphFont"/>
    <w:link w:val="PlainText"/>
    <w:rsid w:val="00B87A9A"/>
    <w:rPr>
      <w:rFonts w:ascii="Courier New" w:eastAsia="Times New Roman" w:hAnsi="Courier New" w:cs="Times New Roman"/>
      <w:sz w:val="20"/>
      <w:szCs w:val="20"/>
      <w:lang w:eastAsia="en-US"/>
    </w:rPr>
  </w:style>
  <w:style w:type="character" w:customStyle="1" w:styleId="MenuOption">
    <w:name w:val="Menu Option"/>
    <w:basedOn w:val="DefaultParagraphFont"/>
    <w:rsid w:val="00B87A9A"/>
    <w:rPr>
      <w:b/>
      <w:smallCaps/>
    </w:rPr>
  </w:style>
  <w:style w:type="paragraph" w:customStyle="1" w:styleId="TableListNumber">
    <w:name w:val="Table List Number"/>
    <w:basedOn w:val="ListNumber"/>
    <w:rsid w:val="00B87A9A"/>
    <w:pPr>
      <w:numPr>
        <w:numId w:val="0"/>
      </w:numPr>
    </w:pPr>
  </w:style>
  <w:style w:type="paragraph" w:styleId="TOC4">
    <w:name w:val="toc 4"/>
    <w:basedOn w:val="TOCBase"/>
    <w:next w:val="Normal"/>
    <w:semiHidden/>
    <w:rsid w:val="00B87A9A"/>
    <w:pPr>
      <w:tabs>
        <w:tab w:val="right" w:leader="dot" w:pos="9071"/>
      </w:tabs>
      <w:ind w:left="1701"/>
    </w:pPr>
  </w:style>
  <w:style w:type="paragraph" w:customStyle="1" w:styleId="ListAlpha">
    <w:name w:val="List Alpha"/>
    <w:basedOn w:val="List"/>
    <w:rsid w:val="00B87A9A"/>
    <w:pPr>
      <w:numPr>
        <w:numId w:val="8"/>
      </w:numPr>
    </w:pPr>
  </w:style>
  <w:style w:type="paragraph" w:customStyle="1" w:styleId="ListAlpha2">
    <w:name w:val="List Alpha 2"/>
    <w:basedOn w:val="List2"/>
    <w:rsid w:val="00B87A9A"/>
    <w:pPr>
      <w:numPr>
        <w:numId w:val="7"/>
      </w:numPr>
    </w:pPr>
  </w:style>
  <w:style w:type="paragraph" w:styleId="List2">
    <w:name w:val="List 2"/>
    <w:basedOn w:val="BodyText"/>
    <w:rsid w:val="00B87A9A"/>
    <w:pPr>
      <w:tabs>
        <w:tab w:val="left" w:pos="680"/>
      </w:tabs>
      <w:spacing w:before="60" w:after="60"/>
      <w:ind w:left="680" w:hanging="340"/>
    </w:pPr>
  </w:style>
  <w:style w:type="paragraph" w:styleId="List3">
    <w:name w:val="List 3"/>
    <w:basedOn w:val="BodyText"/>
    <w:rsid w:val="00B87A9A"/>
    <w:pPr>
      <w:tabs>
        <w:tab w:val="left" w:pos="1021"/>
      </w:tabs>
      <w:spacing w:before="60" w:after="60"/>
      <w:ind w:left="1020" w:hanging="340"/>
    </w:pPr>
  </w:style>
  <w:style w:type="paragraph" w:styleId="List4">
    <w:name w:val="List 4"/>
    <w:basedOn w:val="BodyText"/>
    <w:rsid w:val="00B87A9A"/>
    <w:pPr>
      <w:tabs>
        <w:tab w:val="left" w:pos="1361"/>
      </w:tabs>
      <w:spacing w:before="60" w:after="60"/>
      <w:ind w:left="1361" w:hanging="340"/>
    </w:pPr>
  </w:style>
  <w:style w:type="paragraph" w:styleId="List5">
    <w:name w:val="List 5"/>
    <w:basedOn w:val="BodyText"/>
    <w:rsid w:val="00B87A9A"/>
    <w:pPr>
      <w:tabs>
        <w:tab w:val="left" w:pos="1701"/>
      </w:tabs>
      <w:spacing w:before="60" w:after="60"/>
      <w:ind w:left="1701" w:hanging="340"/>
    </w:pPr>
  </w:style>
  <w:style w:type="paragraph" w:styleId="ListBullet3">
    <w:name w:val="List Bullet 3"/>
    <w:basedOn w:val="List3"/>
    <w:rsid w:val="00B87A9A"/>
    <w:pPr>
      <w:numPr>
        <w:numId w:val="13"/>
      </w:numPr>
      <w:tabs>
        <w:tab w:val="clear" w:pos="1021"/>
      </w:tabs>
      <w:ind w:left="1037" w:hanging="357"/>
    </w:pPr>
  </w:style>
  <w:style w:type="paragraph" w:styleId="ListBullet4">
    <w:name w:val="List Bullet 4"/>
    <w:basedOn w:val="List4"/>
    <w:rsid w:val="00B87A9A"/>
    <w:pPr>
      <w:numPr>
        <w:numId w:val="2"/>
      </w:numPr>
      <w:tabs>
        <w:tab w:val="clear" w:pos="1361"/>
      </w:tabs>
    </w:pPr>
  </w:style>
  <w:style w:type="paragraph" w:styleId="ListBullet5">
    <w:name w:val="List Bullet 5"/>
    <w:basedOn w:val="List5"/>
    <w:rsid w:val="00B87A9A"/>
    <w:pPr>
      <w:numPr>
        <w:numId w:val="3"/>
      </w:numPr>
    </w:pPr>
  </w:style>
  <w:style w:type="paragraph" w:styleId="ListContinue2">
    <w:name w:val="List Continue 2"/>
    <w:basedOn w:val="List2"/>
    <w:rsid w:val="00B87A9A"/>
    <w:pPr>
      <w:ind w:firstLine="0"/>
    </w:pPr>
  </w:style>
  <w:style w:type="paragraph" w:styleId="ListContinue3">
    <w:name w:val="List Continue 3"/>
    <w:basedOn w:val="List3"/>
    <w:rsid w:val="00B87A9A"/>
    <w:pPr>
      <w:ind w:left="1021" w:firstLine="0"/>
    </w:pPr>
  </w:style>
  <w:style w:type="paragraph" w:styleId="ListContinue4">
    <w:name w:val="List Continue 4"/>
    <w:basedOn w:val="List4"/>
    <w:rsid w:val="00B87A9A"/>
    <w:pPr>
      <w:ind w:firstLine="0"/>
    </w:pPr>
  </w:style>
  <w:style w:type="paragraph" w:styleId="ListContinue5">
    <w:name w:val="List Continue 5"/>
    <w:basedOn w:val="List5"/>
    <w:rsid w:val="00B87A9A"/>
    <w:pPr>
      <w:ind w:firstLine="0"/>
    </w:pPr>
  </w:style>
  <w:style w:type="paragraph" w:styleId="ListNumber3">
    <w:name w:val="List Number 3"/>
    <w:basedOn w:val="List3"/>
    <w:rsid w:val="00B87A9A"/>
    <w:pPr>
      <w:numPr>
        <w:numId w:val="4"/>
      </w:numPr>
    </w:pPr>
  </w:style>
  <w:style w:type="paragraph" w:styleId="ListNumber4">
    <w:name w:val="List Number 4"/>
    <w:basedOn w:val="List4"/>
    <w:rsid w:val="00B87A9A"/>
    <w:pPr>
      <w:numPr>
        <w:numId w:val="5"/>
      </w:numPr>
    </w:pPr>
  </w:style>
  <w:style w:type="paragraph" w:styleId="ListNumber5">
    <w:name w:val="List Number 5"/>
    <w:basedOn w:val="List5"/>
    <w:rsid w:val="00B87A9A"/>
    <w:pPr>
      <w:numPr>
        <w:numId w:val="6"/>
      </w:numPr>
    </w:pPr>
  </w:style>
  <w:style w:type="paragraph" w:styleId="BlockText">
    <w:name w:val="Block Text"/>
    <w:basedOn w:val="Normal"/>
    <w:rsid w:val="00B87A9A"/>
    <w:pPr>
      <w:spacing w:after="120"/>
      <w:ind w:left="1440" w:right="1440"/>
    </w:pPr>
  </w:style>
  <w:style w:type="character" w:customStyle="1" w:styleId="Subscript">
    <w:name w:val="Subscript"/>
    <w:basedOn w:val="DefaultParagraphFont"/>
    <w:rsid w:val="00B87A9A"/>
    <w:rPr>
      <w:sz w:val="16"/>
      <w:vertAlign w:val="subscript"/>
    </w:rPr>
  </w:style>
  <w:style w:type="character" w:customStyle="1" w:styleId="Superscript">
    <w:name w:val="Superscript"/>
    <w:basedOn w:val="DefaultParagraphFont"/>
    <w:rsid w:val="00B87A9A"/>
    <w:rPr>
      <w:sz w:val="16"/>
      <w:vertAlign w:val="superscript"/>
    </w:rPr>
  </w:style>
  <w:style w:type="character" w:customStyle="1" w:styleId="Symbols">
    <w:name w:val="Symbols"/>
    <w:basedOn w:val="DefaultParagraphFont"/>
    <w:rsid w:val="00B87A9A"/>
    <w:rPr>
      <w:rFonts w:ascii="Symbol" w:hAnsi="Symbol"/>
    </w:rPr>
  </w:style>
  <w:style w:type="character" w:customStyle="1" w:styleId="MenuOptions">
    <w:name w:val="Menu Options"/>
    <w:basedOn w:val="DefaultParagraphFont"/>
    <w:rsid w:val="00B87A9A"/>
    <w:rPr>
      <w:rFonts w:ascii="Arial Narrow" w:hAnsi="Arial Narrow"/>
      <w:smallCaps/>
    </w:rPr>
  </w:style>
  <w:style w:type="character" w:customStyle="1" w:styleId="Buttons">
    <w:name w:val="Buttons"/>
    <w:basedOn w:val="DefaultParagraphFont"/>
    <w:rsid w:val="00B87A9A"/>
    <w:rPr>
      <w:b/>
    </w:rPr>
  </w:style>
  <w:style w:type="character" w:customStyle="1" w:styleId="Underlined">
    <w:name w:val="Underlined"/>
    <w:basedOn w:val="DefaultParagraphFont"/>
    <w:rsid w:val="00B87A9A"/>
    <w:rPr>
      <w:u w:val="single"/>
    </w:rPr>
  </w:style>
  <w:style w:type="paragraph" w:customStyle="1" w:styleId="TableBodyTextRight">
    <w:name w:val="Table Body Text Right"/>
    <w:basedOn w:val="TableBodyText"/>
    <w:rsid w:val="00B87A9A"/>
    <w:pPr>
      <w:widowControl w:val="0"/>
      <w:autoSpaceDE w:val="0"/>
      <w:autoSpaceDN w:val="0"/>
      <w:adjustRightInd w:val="0"/>
      <w:jc w:val="right"/>
    </w:pPr>
    <w:rPr>
      <w:rFonts w:cs="Arial"/>
      <w:szCs w:val="18"/>
    </w:rPr>
  </w:style>
  <w:style w:type="paragraph" w:customStyle="1" w:styleId="CopyrightText">
    <w:name w:val="Copyright Text"/>
    <w:basedOn w:val="BodyText"/>
    <w:rsid w:val="00B87A9A"/>
    <w:rPr>
      <w:sz w:val="18"/>
    </w:rPr>
  </w:style>
  <w:style w:type="paragraph" w:customStyle="1" w:styleId="BodySmallRight">
    <w:name w:val="Body Small Right"/>
    <w:basedOn w:val="BodyTextRight"/>
    <w:rsid w:val="00B87A9A"/>
    <w:rPr>
      <w:sz w:val="18"/>
      <w:szCs w:val="18"/>
    </w:rPr>
  </w:style>
  <w:style w:type="paragraph" w:customStyle="1" w:styleId="MarginEdition">
    <w:name w:val="Margin Edition"/>
    <w:basedOn w:val="MarginNote"/>
    <w:rsid w:val="00B87A9A"/>
    <w:pPr>
      <w:spacing w:before="0" w:after="0"/>
    </w:pPr>
    <w:rPr>
      <w:rFonts w:ascii="Times New Roman" w:hAnsi="Times New Roman"/>
      <w:color w:val="999999"/>
    </w:rPr>
  </w:style>
  <w:style w:type="paragraph" w:customStyle="1" w:styleId="Spacer">
    <w:name w:val="Spacer"/>
    <w:basedOn w:val="Normal"/>
    <w:rsid w:val="00B87A9A"/>
    <w:rPr>
      <w:sz w:val="2"/>
      <w:szCs w:val="2"/>
    </w:rPr>
  </w:style>
  <w:style w:type="character" w:customStyle="1" w:styleId="Small">
    <w:name w:val="Small"/>
    <w:basedOn w:val="DefaultParagraphFont"/>
    <w:rsid w:val="00B87A9A"/>
    <w:rPr>
      <w:sz w:val="16"/>
    </w:rPr>
  </w:style>
  <w:style w:type="paragraph" w:customStyle="1" w:styleId="WideTable">
    <w:name w:val="Wide Table"/>
    <w:basedOn w:val="Normal"/>
    <w:rsid w:val="00B87A9A"/>
    <w:pPr>
      <w:ind w:left="-1418"/>
    </w:pPr>
    <w:rPr>
      <w:sz w:val="2"/>
      <w:szCs w:val="2"/>
    </w:rPr>
  </w:style>
  <w:style w:type="character" w:styleId="PageNumber">
    <w:name w:val="page number"/>
    <w:basedOn w:val="DefaultParagraphFont"/>
    <w:rsid w:val="00B87A9A"/>
  </w:style>
  <w:style w:type="paragraph" w:styleId="Quote">
    <w:name w:val="Quote"/>
    <w:basedOn w:val="Heading1"/>
    <w:link w:val="QuoteChar"/>
    <w:qFormat/>
    <w:rsid w:val="00B87A9A"/>
    <w:rPr>
      <w:b w:val="0"/>
      <w:sz w:val="72"/>
      <w:szCs w:val="72"/>
      <w:lang w:val="en-NZ"/>
    </w:rPr>
  </w:style>
  <w:style w:type="character" w:customStyle="1" w:styleId="QuoteChar">
    <w:name w:val="Quote Char"/>
    <w:basedOn w:val="DefaultParagraphFont"/>
    <w:link w:val="Quote"/>
    <w:rsid w:val="00B87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A9A"/>
    <w:pPr>
      <w:pageBreakBefore/>
    </w:pPr>
  </w:style>
  <w:style w:type="paragraph" w:customStyle="1" w:styleId="Border">
    <w:name w:val="Border"/>
    <w:basedOn w:val="Normal"/>
    <w:qFormat/>
    <w:rsid w:val="00B87A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A9A"/>
    <w:rPr>
      <w:b/>
      <w:bCs/>
      <w:i/>
      <w:iCs/>
      <w:color w:val="auto"/>
    </w:rPr>
  </w:style>
  <w:style w:type="paragraph" w:styleId="IntenseQuote">
    <w:name w:val="Intense Quote"/>
    <w:basedOn w:val="Normal"/>
    <w:next w:val="Normal"/>
    <w:link w:val="IntenseQuoteChar"/>
    <w:uiPriority w:val="30"/>
    <w:qFormat/>
    <w:rsid w:val="00B87A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A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A9A"/>
    <w:rPr>
      <w:smallCaps/>
      <w:color w:val="auto"/>
      <w:u w:val="single"/>
    </w:rPr>
  </w:style>
  <w:style w:type="character" w:styleId="IntenseReference">
    <w:name w:val="Intense Reference"/>
    <w:basedOn w:val="DefaultParagraphFont"/>
    <w:uiPriority w:val="32"/>
    <w:qFormat/>
    <w:rsid w:val="00B87A9A"/>
    <w:rPr>
      <w:b/>
      <w:bCs/>
      <w:smallCaps/>
      <w:color w:val="auto"/>
      <w:spacing w:val="5"/>
      <w:u w:val="single"/>
    </w:rPr>
  </w:style>
  <w:style w:type="paragraph" w:customStyle="1" w:styleId="2ColumnHeading">
    <w:name w:val="2Column Heading"/>
    <w:basedOn w:val="BodyText"/>
    <w:qFormat/>
    <w:rsid w:val="00B87A9A"/>
    <w:pPr>
      <w:spacing w:after="60"/>
      <w:ind w:left="-2268"/>
    </w:pPr>
    <w:rPr>
      <w:b/>
    </w:rPr>
  </w:style>
  <w:style w:type="paragraph" w:customStyle="1" w:styleId="Heading1TOC">
    <w:name w:val="Heading1 TOC"/>
    <w:basedOn w:val="Normal"/>
    <w:qFormat/>
    <w:rsid w:val="00B87A9A"/>
    <w:pPr>
      <w:spacing w:before="240" w:after="120"/>
    </w:pPr>
    <w:rPr>
      <w:rFonts w:ascii="Times New Roman" w:hAnsi="Times New Roman"/>
      <w:b/>
      <w:sz w:val="32"/>
    </w:rPr>
  </w:style>
  <w:style w:type="paragraph" w:customStyle="1" w:styleId="Heading2TOC">
    <w:name w:val="Heading2 TOC"/>
    <w:basedOn w:val="Normal"/>
    <w:qFormat/>
    <w:rsid w:val="00B87A9A"/>
    <w:pPr>
      <w:spacing w:before="240" w:after="60"/>
    </w:pPr>
    <w:rPr>
      <w:rFonts w:ascii="Times New Roman" w:hAnsi="Times New Roman"/>
      <w:b/>
      <w:sz w:val="28"/>
    </w:rPr>
  </w:style>
  <w:style w:type="character" w:customStyle="1" w:styleId="Underline">
    <w:name w:val="Underline"/>
    <w:basedOn w:val="DefaultParagraphFont"/>
    <w:qFormat/>
    <w:rsid w:val="00B87A9A"/>
    <w:rPr>
      <w:u w:val="single"/>
    </w:rPr>
  </w:style>
  <w:style w:type="character" w:customStyle="1" w:styleId="BoldandItalics">
    <w:name w:val="Bold and Italics"/>
    <w:qFormat/>
    <w:rsid w:val="00B87A9A"/>
    <w:rPr>
      <w:b/>
      <w:i/>
      <w:u w:val="none"/>
    </w:rPr>
  </w:style>
  <w:style w:type="paragraph" w:styleId="BalloonText">
    <w:name w:val="Balloon Text"/>
    <w:basedOn w:val="Normal"/>
    <w:link w:val="BalloonTextChar"/>
    <w:rsid w:val="00B87A9A"/>
    <w:rPr>
      <w:rFonts w:ascii="Tahoma" w:hAnsi="Tahoma" w:cs="Tahoma"/>
      <w:sz w:val="16"/>
      <w:szCs w:val="16"/>
    </w:rPr>
  </w:style>
  <w:style w:type="character" w:customStyle="1" w:styleId="BalloonTextChar">
    <w:name w:val="Balloon Text Char"/>
    <w:basedOn w:val="DefaultParagraphFont"/>
    <w:link w:val="BalloonText"/>
    <w:rsid w:val="00B87A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A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A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A9A"/>
    <w:rPr>
      <w:b/>
      <w:color w:val="660033"/>
      <w:spacing w:val="0"/>
    </w:rPr>
  </w:style>
  <w:style w:type="paragraph" w:customStyle="1" w:styleId="Nameditemlist">
    <w:name w:val="Named item list"/>
    <w:basedOn w:val="BodyText"/>
    <w:qFormat/>
    <w:rsid w:val="00B87A9A"/>
    <w:pPr>
      <w:tabs>
        <w:tab w:val="left" w:pos="2835"/>
      </w:tabs>
      <w:ind w:left="2835" w:hanging="2835"/>
    </w:pPr>
  </w:style>
  <w:style w:type="paragraph" w:customStyle="1" w:styleId="BodyTextnopadding">
    <w:name w:val="Body Text no padding"/>
    <w:basedOn w:val="BodyText"/>
    <w:qFormat/>
    <w:rsid w:val="00B87A9A"/>
    <w:pPr>
      <w:spacing w:before="0" w:after="0"/>
    </w:pPr>
  </w:style>
  <w:style w:type="paragraph" w:customStyle="1" w:styleId="BodyTextBold">
    <w:name w:val="Body Text Bold"/>
    <w:basedOn w:val="BodyText"/>
    <w:qFormat/>
    <w:rsid w:val="00B87A9A"/>
    <w:rPr>
      <w:b/>
    </w:rPr>
  </w:style>
  <w:style w:type="character" w:styleId="Hyperlink">
    <w:name w:val="Hyperlink"/>
    <w:basedOn w:val="DefaultParagraphFont"/>
    <w:uiPriority w:val="99"/>
    <w:unhideWhenUsed/>
    <w:rsid w:val="001F50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3743</Characters>
  <Application>Microsoft Office Word</Application>
  <DocSecurity>0</DocSecurity>
  <Lines>113</Lines>
  <Paragraphs>67</Paragraphs>
  <ScaleCrop>false</ScaleCrop>
  <Company>Author-it Software Corporation Ltd.</Company>
  <LinksUpToDate>false</LinksUpToDate>
  <CharactersWithSpaces>4249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FWPCOT5205 Develop biohazard contingency plans</dc:title>
  <dc:subject>Approved</dc:subject>
  <dc:creator>Skills Impact</dc:creator>
  <cp:keywords>Release: 1</cp:keywords>
  <dc:description>Review Date: 12 April 2008</dc:description>
  <cp:lastModifiedBy>HSD_TPCMSd.prod</cp:lastModifiedBy>
  <cp:revision>3</cp:revision>
  <dcterms:created xsi:type="dcterms:W3CDTF">2021-04-29T02:40:00Z</dcterms:created>
  <dcterms:modified xsi:type="dcterms:W3CDTF">2021-04-29T02:40:00Z</dcterms:modified>
</cp:coreProperties>
</file>