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285" w:rsidP="00C10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FWPCOT3338 Identify glues and gluing systems used in production of wood products</w:t>
      </w:r>
      <w:r>
        <w:fldChar w:fldCharType="end"/>
      </w:r>
    </w:p>
    <w:p w:rsidR="00C10285" w:rsidP="00C10285">
      <w:pPr>
        <w:pStyle w:val="Version"/>
        <w:sectPr w:rsidSect="00DB0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13F" w:rsidP="00DB013F">
      <w:pPr>
        <w:pStyle w:val="SuperHeading"/>
      </w:pPr>
      <w:r w:rsidRPr="00DB013F">
        <w:t>FWPCOT3338 Identify glues and gluing systems used in production of wood products</w:t>
      </w:r>
    </w:p>
    <w:p w:rsidR="00000000" w:rsidRPr="00DB013F" w:rsidP="00DB013F">
      <w:pPr>
        <w:pStyle w:val="Heading1"/>
      </w:pPr>
      <w:bookmarkStart w:id="1" w:name="O_1241853"/>
      <w:bookmarkEnd w:id="1"/>
      <w:r w:rsidRPr="00DB0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Comments</w:t>
            </w:r>
          </w:p>
        </w:tc>
      </w:tr>
      <w:tr w:rsidTr="00DB0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>This version released with FWP Forest and Wood Products Training Package Version 8.0.</w:t>
            </w:r>
          </w:p>
        </w:tc>
      </w:tr>
    </w:tbl>
    <w:p w:rsidR="00000000" w:rsidRPr="00DB013F" w:rsidP="00DB013F">
      <w:pPr>
        <w:pStyle w:val="BodyText"/>
      </w:pPr>
    </w:p>
    <w:p w:rsidR="00000000" w:rsidRPr="00DB013F" w:rsidP="00DB013F">
      <w:pPr>
        <w:pStyle w:val="AllowPageBreak"/>
      </w:pPr>
    </w:p>
    <w:p w:rsidR="00000000" w:rsidRPr="00DB013F" w:rsidP="00DB013F">
      <w:pPr>
        <w:pStyle w:val="Heading1"/>
      </w:pPr>
      <w:bookmarkStart w:id="2" w:name="O_1241854"/>
      <w:bookmarkEnd w:id="2"/>
      <w:r w:rsidRPr="00DB013F">
        <w:t>Application</w:t>
      </w:r>
    </w:p>
    <w:p w:rsidR="00000000" w:rsidRPr="00DB013F" w:rsidP="00C10285">
      <w:pPr>
        <w:pStyle w:val="BodyText"/>
      </w:pPr>
      <w:r w:rsidRPr="00DB013F">
        <w:t>This unit of competency describes the skills and knowledge required to assess the types and applications of glues and gluing systems used in the production of wood products.</w:t>
      </w:r>
    </w:p>
    <w:p w:rsidR="00000000" w:rsidRPr="00DB013F" w:rsidP="00C10285">
      <w:pPr>
        <w:pStyle w:val="BodyText"/>
      </w:pPr>
      <w:r w:rsidRPr="00DB013F">
        <w:t>The unit applies to individuals who are engaged in the production of w</w:t>
      </w:r>
      <w:r w:rsidRPr="00DB013F">
        <w:t>ood products.</w:t>
      </w:r>
    </w:p>
    <w:p w:rsidR="00000000" w:rsidRPr="00DB013F" w:rsidP="00C10285">
      <w:pPr>
        <w:pStyle w:val="BodyText"/>
      </w:pPr>
      <w:r w:rsidRPr="00DB013F">
        <w:t>All work must be carried out to comply with workplace procedures, according to state/territory health and safety regulations, legislation and standards that apply to the workplace.</w:t>
      </w:r>
    </w:p>
    <w:p w:rsidR="00000000" w:rsidRPr="00DB013F" w:rsidP="00C10285">
      <w:pPr>
        <w:pStyle w:val="BodyText"/>
      </w:pPr>
      <w:r w:rsidRPr="00DB013F">
        <w:t>No licensing, legislative or certification requirements apply</w:t>
      </w:r>
      <w:r w:rsidRPr="00DB013F">
        <w:t xml:space="preserve"> to this unit at the time of publication.</w:t>
      </w:r>
    </w:p>
    <w:p w:rsidR="00000000" w:rsidRPr="00DB013F" w:rsidP="00DB013F">
      <w:pPr>
        <w:pStyle w:val="Heading1"/>
      </w:pPr>
      <w:bookmarkStart w:id="3" w:name="O_1241855"/>
      <w:bookmarkEnd w:id="3"/>
      <w:r w:rsidRPr="00DB013F">
        <w:t>Pre-requisite Unit</w:t>
      </w:r>
    </w:p>
    <w:p w:rsidR="00000000" w:rsidRPr="00DB013F" w:rsidP="00C10285">
      <w:pPr>
        <w:pStyle w:val="BodyText"/>
      </w:pPr>
      <w:r w:rsidRPr="00DB013F">
        <w:t xml:space="preserve">Nil </w:t>
      </w:r>
    </w:p>
    <w:p w:rsidR="00000000" w:rsidRPr="00DB013F" w:rsidP="00DB013F">
      <w:pPr>
        <w:pStyle w:val="Heading1"/>
      </w:pPr>
      <w:bookmarkStart w:id="4" w:name="O_1241857"/>
      <w:bookmarkEnd w:id="4"/>
      <w:r w:rsidRPr="00DB013F">
        <w:t>Unit Sector</w:t>
      </w:r>
    </w:p>
    <w:p w:rsidR="00000000" w:rsidRPr="00DB013F" w:rsidP="00C10285">
      <w:pPr>
        <w:pStyle w:val="BodyText"/>
      </w:pPr>
      <w:r w:rsidRPr="00DB013F">
        <w:t>Common Technical (COT)</w:t>
      </w:r>
    </w:p>
    <w:p w:rsidR="00000000" w:rsidRPr="00DB013F" w:rsidP="00DB013F">
      <w:pPr>
        <w:pStyle w:val="Heading1"/>
      </w:pPr>
      <w:bookmarkStart w:id="5" w:name="O_1241858"/>
      <w:bookmarkEnd w:id="5"/>
      <w:r w:rsidRPr="00DB01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Performance Criteria</w:t>
            </w:r>
          </w:p>
        </w:tc>
      </w:tr>
      <w:tr w:rsidTr="00C10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0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 xml:space="preserve">1. Research types, properties and applications of glues used in production of </w:t>
            </w:r>
            <w:r w:rsidRPr="00DB013F">
              <w:t>wood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 xml:space="preserve">1.1 Identify glue types </w:t>
            </w:r>
            <w:r w:rsidRPr="00DB013F">
              <w:t>by exposure categories, end-use, preparation and supplier product name</w:t>
            </w:r>
          </w:p>
          <w:p w:rsidR="00000000" w:rsidRPr="00DB013F" w:rsidP="00DB013F">
            <w:pPr>
              <w:pStyle w:val="BodyText"/>
            </w:pPr>
            <w:r w:rsidRPr="00DB013F">
              <w:t>1.2 Identify hazards associated with handling, transporting, storing and disposing of glues</w:t>
            </w:r>
          </w:p>
          <w:p w:rsidR="00000000" w:rsidRPr="00DB013F" w:rsidP="00DB013F">
            <w:pPr>
              <w:pStyle w:val="BodyText"/>
            </w:pPr>
            <w:r w:rsidRPr="00DB013F">
              <w:t>1.3 Identify legislation, standards and codes of practice relevant to gluing operations</w:t>
            </w:r>
          </w:p>
          <w:p w:rsidR="00000000" w:rsidRPr="00DB013F" w:rsidP="00DB013F">
            <w:pPr>
              <w:pStyle w:val="BodyText"/>
            </w:pPr>
            <w:r w:rsidRPr="00DB013F">
              <w:t>1.4 Determine safe practices for handling, transporting, storing and disposing of glue, glue waste and containers</w:t>
            </w:r>
          </w:p>
          <w:p w:rsidR="00000000" w:rsidRPr="00DB013F" w:rsidP="00DB013F">
            <w:pPr>
              <w:pStyle w:val="BodyText"/>
            </w:pPr>
            <w:r w:rsidRPr="00DB013F">
              <w:t>1.5 Assess factors that influence shelf-life of glues, and work practices that maximise shelf-life of glues</w:t>
            </w:r>
          </w:p>
          <w:p w:rsidR="00000000" w:rsidRPr="00DB013F" w:rsidP="00DB013F">
            <w:pPr>
              <w:pStyle w:val="BodyText"/>
            </w:pPr>
            <w:r w:rsidRPr="00DB013F">
              <w:t>1.6 Investigate factors that influ</w:t>
            </w:r>
            <w:r w:rsidRPr="00DB013F">
              <w:t>ence glue application and bonding</w:t>
            </w:r>
          </w:p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1.7 Identify glue ingredient specifications used in the workplace, and actions to be taken with out-of-specification ingredients</w:t>
            </w:r>
          </w:p>
        </w:tc>
      </w:tr>
      <w:tr w:rsidTr="00C10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2. Investigate gluing systems used in production of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>2.1 Identify types, functi</w:t>
            </w:r>
            <w:r w:rsidRPr="00DB013F">
              <w:t>ons and components of semi-automatic and automatic systems for dosing, mixing and applying glues</w:t>
            </w:r>
          </w:p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2.2 Identify operating parameters and processing capacity of gluing systems</w:t>
            </w:r>
          </w:p>
        </w:tc>
      </w:tr>
      <w:tr w:rsidTr="00C10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3. Identify glue testing procedures used in production of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>3.1 Identi</w:t>
            </w:r>
            <w:r w:rsidRPr="00DB013F">
              <w:t>fy types and purpose of glue testing procedures</w:t>
            </w:r>
          </w:p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3.2 Identify outcomes of glue testing and action to be taken if glue is out-of- specification</w:t>
            </w:r>
          </w:p>
        </w:tc>
      </w:tr>
      <w:tr w:rsidTr="00C10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4. Determine causes of adhesion failures in production of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>4.1 Identify causes of adhesion failure</w:t>
            </w:r>
          </w:p>
          <w:p w:rsidR="00000000" w:rsidRPr="00DB013F" w:rsidP="00DB013F">
            <w:pPr>
              <w:pStyle w:val="BodyText"/>
            </w:pPr>
            <w:r w:rsidRPr="00DB013F">
              <w:t>4</w:t>
            </w:r>
            <w:r w:rsidRPr="00DB013F">
              <w:t>.2 Identify physical characteristics that indicate likely cause of adhesion failure</w:t>
            </w:r>
          </w:p>
          <w:p w:rsidR="00000000" w:rsidRPr="00DB013F" w:rsidP="00DB013F">
            <w:pPr>
              <w:pStyle w:val="BodyText"/>
            </w:pPr>
            <w:r w:rsidRPr="00DB013F">
              <w:t>4.3 Verify process for determining adhesion failure</w:t>
            </w:r>
          </w:p>
        </w:tc>
      </w:tr>
    </w:tbl>
    <w:p w:rsidR="00000000" w:rsidRPr="00DB013F" w:rsidP="00DB013F">
      <w:pPr>
        <w:pStyle w:val="BodyText"/>
      </w:pPr>
    </w:p>
    <w:p w:rsidR="00000000" w:rsidRPr="00DB013F" w:rsidP="00DB013F">
      <w:pPr>
        <w:pStyle w:val="AllowPageBreak"/>
      </w:pPr>
    </w:p>
    <w:p w:rsidR="00000000" w:rsidRPr="00DB013F" w:rsidP="00DB013F">
      <w:pPr>
        <w:pStyle w:val="Heading1"/>
      </w:pPr>
      <w:bookmarkStart w:id="6" w:name="O_1241859"/>
      <w:bookmarkEnd w:id="6"/>
      <w:r w:rsidRPr="00DB013F">
        <w:t>Foundation Skills</w:t>
      </w:r>
    </w:p>
    <w:p w:rsidR="00000000" w:rsidRPr="00C10285" w:rsidP="00C10285">
      <w:pPr>
        <w:pStyle w:val="BodyText"/>
        <w:rPr>
          <w:i/>
        </w:rPr>
      </w:pPr>
      <w:r w:rsidRPr="00C10285">
        <w:rPr>
          <w:rStyle w:val="Emphasis"/>
        </w:rPr>
        <w:t>This section describes those language, literacy, numeracy and employment skills t</w:t>
      </w:r>
      <w:r w:rsidRPr="00C10285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Description</w:t>
            </w:r>
          </w:p>
        </w:tc>
      </w:tr>
      <w:tr w:rsidTr="00DB0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ListBullet"/>
            </w:pPr>
            <w:r w:rsidRPr="00DB013F">
              <w:t>Extract routine information from industry guides and standard references on glues and gluing systems</w:t>
            </w:r>
          </w:p>
        </w:tc>
      </w:tr>
    </w:tbl>
    <w:p w:rsidR="00000000" w:rsidRPr="00DB013F" w:rsidP="00DB013F">
      <w:pPr>
        <w:pStyle w:val="BodyText"/>
      </w:pPr>
    </w:p>
    <w:p w:rsidR="00000000" w:rsidRPr="00DB013F" w:rsidP="00DB013F">
      <w:pPr>
        <w:pStyle w:val="AllowPageBreak"/>
      </w:pPr>
    </w:p>
    <w:p w:rsidR="00000000" w:rsidRPr="00DB013F" w:rsidP="00DB013F">
      <w:pPr>
        <w:pStyle w:val="Heading1"/>
      </w:pPr>
      <w:bookmarkStart w:id="7" w:name="O_1241861"/>
      <w:bookmarkEnd w:id="7"/>
      <w:r w:rsidRPr="00DB01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0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Bold"/>
              <w:rPr>
                <w:lang w:val="en-NZ"/>
              </w:rPr>
            </w:pPr>
            <w:r w:rsidRPr="00DB013F">
              <w:t>Equivalence status</w:t>
            </w:r>
          </w:p>
        </w:tc>
      </w:tr>
      <w:tr w:rsidTr="00DB0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FWPCOT3338 Identify glues and gluing systems used in production of wood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>FWPWPP3209 Prepare resin and additives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3F">
            <w:pPr>
              <w:pStyle w:val="BodyText"/>
              <w:rPr>
                <w:lang w:val="en-NZ"/>
              </w:rPr>
            </w:pPr>
            <w:r w:rsidRPr="00DB013F">
              <w:t>Unit redeveloped to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3F" w:rsidP="00DB013F">
            <w:pPr>
              <w:pStyle w:val="BodyText"/>
            </w:pPr>
            <w:r w:rsidRPr="00DB013F">
              <w:t xml:space="preserve">Not equivalent </w:t>
            </w:r>
          </w:p>
          <w:p w:rsidR="00000000" w:rsidRPr="00DB013F" w:rsidP="00DB013F">
            <w:pPr>
              <w:pStyle w:val="BodyText"/>
            </w:pPr>
          </w:p>
        </w:tc>
      </w:tr>
    </w:tbl>
    <w:p w:rsidR="00000000" w:rsidRPr="00DB013F" w:rsidP="00DB013F">
      <w:pPr>
        <w:pStyle w:val="BodyText"/>
      </w:pPr>
    </w:p>
    <w:p w:rsidR="00000000" w:rsidRPr="00DB013F" w:rsidP="00DB013F">
      <w:pPr>
        <w:pStyle w:val="AllowPageBreak"/>
      </w:pPr>
    </w:p>
    <w:p w:rsidR="00000000" w:rsidRPr="00DB013F" w:rsidP="00DB013F">
      <w:pPr>
        <w:pStyle w:val="Heading1"/>
      </w:pPr>
      <w:bookmarkStart w:id="8" w:name="O_1241868"/>
      <w:bookmarkEnd w:id="8"/>
      <w:r w:rsidRPr="00DB013F">
        <w:t>Links</w:t>
      </w:r>
    </w:p>
    <w:p w:rsidR="00000000" w:rsidRPr="00DB013F" w:rsidP="00C10285">
      <w:pPr>
        <w:pStyle w:val="BodyText"/>
      </w:pPr>
      <w:r w:rsidRPr="00DB01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49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013F" w:rsidP="00DB013F"/>
    <w:sectPr w:rsidSect="00DB0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3F" w:rsidRPr="00C10285" w:rsidP="00C10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85" w:rsidP="00DB0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285" w:rsidP="00DB0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0285" w:rsidP="00DB0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13F" w:rsidRPr="00C10285" w:rsidP="00C10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85" w:rsidRPr="002D2AF8" w:rsidP="00DB0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FWPCOT3338 Identify glues and gluing systems used in production of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10285" w:rsidP="00DB0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523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C9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13F"/>
  </w:style>
  <w:style w:type="character" w:customStyle="1" w:styleId="Heading1Char">
    <w:name w:val="Heading 1 Char"/>
    <w:basedOn w:val="DefaultParagraphFont"/>
    <w:link w:val="Heading1"/>
    <w:rsid w:val="00DB0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1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B013F"/>
    <w:rPr>
      <w:i/>
    </w:rPr>
  </w:style>
  <w:style w:type="paragraph" w:customStyle="1" w:styleId="SuperHeading">
    <w:name w:val="SuperHeading"/>
    <w:basedOn w:val="Normal"/>
    <w:rsid w:val="00DB0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013F"/>
    <w:rPr>
      <w:b/>
    </w:rPr>
  </w:style>
  <w:style w:type="character" w:customStyle="1" w:styleId="Heading2Char">
    <w:name w:val="Heading 2 Char"/>
    <w:basedOn w:val="DefaultParagraphFont"/>
    <w:link w:val="Heading2"/>
    <w:rsid w:val="00DB0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13F"/>
    <w:rPr>
      <w:b/>
      <w:spacing w:val="0"/>
    </w:rPr>
  </w:style>
  <w:style w:type="paragraph" w:customStyle="1" w:styleId="SuperTitle">
    <w:name w:val="SuperTitle"/>
    <w:basedOn w:val="Title"/>
    <w:rsid w:val="00DB0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1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13F"/>
  </w:style>
  <w:style w:type="paragraph" w:styleId="TableofFigures">
    <w:name w:val="table of figures"/>
    <w:basedOn w:val="Normal"/>
    <w:next w:val="Normal"/>
    <w:semiHidden/>
    <w:rsid w:val="00DB0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13F"/>
    <w:rPr>
      <w:rFonts w:ascii="Wingdings" w:hAnsi="Wingdings"/>
    </w:rPr>
  </w:style>
  <w:style w:type="paragraph" w:customStyle="1" w:styleId="TableHeading">
    <w:name w:val="Table Heading"/>
    <w:basedOn w:val="HeadingBase"/>
    <w:rsid w:val="00DB0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13F"/>
    <w:rPr>
      <w:color w:val="0033CC"/>
      <w:u w:val="none"/>
    </w:rPr>
  </w:style>
  <w:style w:type="paragraph" w:customStyle="1" w:styleId="BodyTextRight">
    <w:name w:val="Body Text Right"/>
    <w:basedOn w:val="BodyText"/>
    <w:rsid w:val="00DB0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13F"/>
    <w:rPr>
      <w:sz w:val="32"/>
    </w:rPr>
  </w:style>
  <w:style w:type="paragraph" w:customStyle="1" w:styleId="HeadingProcedure">
    <w:name w:val="Heading Procedure"/>
    <w:basedOn w:val="HeadingBase"/>
    <w:next w:val="Normal"/>
    <w:rsid w:val="00DB0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13F"/>
    <w:pPr>
      <w:spacing w:before="60" w:after="60"/>
    </w:pPr>
  </w:style>
  <w:style w:type="paragraph" w:styleId="ListContinue">
    <w:name w:val="List Continue"/>
    <w:basedOn w:val="List"/>
    <w:rsid w:val="00DB013F"/>
    <w:pPr>
      <w:ind w:firstLine="0"/>
    </w:pPr>
  </w:style>
  <w:style w:type="paragraph" w:customStyle="1" w:styleId="ListNote">
    <w:name w:val="List Note"/>
    <w:basedOn w:val="List"/>
    <w:rsid w:val="00DB0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13F"/>
    <w:rPr>
      <w:rFonts w:ascii="Courier New" w:hAnsi="Courier New"/>
    </w:rPr>
  </w:style>
  <w:style w:type="paragraph" w:customStyle="1" w:styleId="NoteBullet">
    <w:name w:val="Note Bullet"/>
    <w:basedOn w:val="Note"/>
    <w:rsid w:val="00DB0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13F"/>
    <w:rPr>
      <w:b/>
      <w:smallCaps/>
    </w:rPr>
  </w:style>
  <w:style w:type="paragraph" w:customStyle="1" w:styleId="TableListNumber">
    <w:name w:val="Table List Number"/>
    <w:basedOn w:val="ListNumber"/>
    <w:rsid w:val="00DB0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13F"/>
    <w:pPr>
      <w:numPr>
        <w:numId w:val="8"/>
      </w:numPr>
    </w:pPr>
  </w:style>
  <w:style w:type="paragraph" w:customStyle="1" w:styleId="ListAlpha2">
    <w:name w:val="List Alpha 2"/>
    <w:basedOn w:val="List2"/>
    <w:rsid w:val="00DB013F"/>
    <w:pPr>
      <w:numPr>
        <w:numId w:val="7"/>
      </w:numPr>
    </w:pPr>
  </w:style>
  <w:style w:type="paragraph" w:styleId="List2">
    <w:name w:val="List 2"/>
    <w:basedOn w:val="BodyText"/>
    <w:rsid w:val="00DB0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13F"/>
    <w:pPr>
      <w:numPr>
        <w:numId w:val="3"/>
      </w:numPr>
    </w:pPr>
  </w:style>
  <w:style w:type="paragraph" w:styleId="ListContinue2">
    <w:name w:val="List Continue 2"/>
    <w:basedOn w:val="List2"/>
    <w:rsid w:val="00DB013F"/>
    <w:pPr>
      <w:ind w:firstLine="0"/>
    </w:pPr>
  </w:style>
  <w:style w:type="paragraph" w:styleId="ListContinue3">
    <w:name w:val="List Continue 3"/>
    <w:basedOn w:val="List3"/>
    <w:rsid w:val="00DB013F"/>
    <w:pPr>
      <w:ind w:left="1021" w:firstLine="0"/>
    </w:pPr>
  </w:style>
  <w:style w:type="paragraph" w:styleId="ListContinue4">
    <w:name w:val="List Continue 4"/>
    <w:basedOn w:val="List4"/>
    <w:rsid w:val="00DB013F"/>
    <w:pPr>
      <w:ind w:firstLine="0"/>
    </w:pPr>
  </w:style>
  <w:style w:type="paragraph" w:styleId="ListContinue5">
    <w:name w:val="List Continue 5"/>
    <w:basedOn w:val="List5"/>
    <w:rsid w:val="00DB013F"/>
    <w:pPr>
      <w:ind w:firstLine="0"/>
    </w:pPr>
  </w:style>
  <w:style w:type="paragraph" w:styleId="ListNumber3">
    <w:name w:val="List Number 3"/>
    <w:basedOn w:val="List3"/>
    <w:rsid w:val="00DB013F"/>
    <w:pPr>
      <w:numPr>
        <w:numId w:val="4"/>
      </w:numPr>
    </w:pPr>
  </w:style>
  <w:style w:type="paragraph" w:styleId="ListNumber4">
    <w:name w:val="List Number 4"/>
    <w:basedOn w:val="List4"/>
    <w:rsid w:val="00DB013F"/>
    <w:pPr>
      <w:numPr>
        <w:numId w:val="5"/>
      </w:numPr>
    </w:pPr>
  </w:style>
  <w:style w:type="paragraph" w:styleId="ListNumber5">
    <w:name w:val="List Number 5"/>
    <w:basedOn w:val="List5"/>
    <w:rsid w:val="00DB013F"/>
    <w:pPr>
      <w:numPr>
        <w:numId w:val="6"/>
      </w:numPr>
    </w:pPr>
  </w:style>
  <w:style w:type="paragraph" w:styleId="BlockText">
    <w:name w:val="Block Text"/>
    <w:basedOn w:val="Normal"/>
    <w:rsid w:val="00DB0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13F"/>
    <w:rPr>
      <w:sz w:val="16"/>
      <w:vertAlign w:val="superscript"/>
    </w:rPr>
  </w:style>
  <w:style w:type="character" w:customStyle="1" w:styleId="Symbols">
    <w:name w:val="Symbols"/>
    <w:basedOn w:val="DefaultParagraphFont"/>
    <w:rsid w:val="00DB013F"/>
    <w:rPr>
      <w:rFonts w:ascii="Symbol" w:hAnsi="Symbol"/>
    </w:rPr>
  </w:style>
  <w:style w:type="character" w:customStyle="1" w:styleId="MenuOptions">
    <w:name w:val="Menu Options"/>
    <w:basedOn w:val="DefaultParagraphFont"/>
    <w:rsid w:val="00DB0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13F"/>
    <w:rPr>
      <w:b/>
    </w:rPr>
  </w:style>
  <w:style w:type="character" w:customStyle="1" w:styleId="Underlined">
    <w:name w:val="Underlined"/>
    <w:basedOn w:val="DefaultParagraphFont"/>
    <w:rsid w:val="00DB013F"/>
    <w:rPr>
      <w:u w:val="single"/>
    </w:rPr>
  </w:style>
  <w:style w:type="paragraph" w:customStyle="1" w:styleId="TableBodyTextRight">
    <w:name w:val="Table Body Text Right"/>
    <w:basedOn w:val="TableBodyText"/>
    <w:rsid w:val="00DB0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13F"/>
    <w:rPr>
      <w:sz w:val="18"/>
    </w:rPr>
  </w:style>
  <w:style w:type="paragraph" w:customStyle="1" w:styleId="BodySmallRight">
    <w:name w:val="Body Small Right"/>
    <w:basedOn w:val="BodyTextRight"/>
    <w:rsid w:val="00DB013F"/>
    <w:rPr>
      <w:sz w:val="18"/>
      <w:szCs w:val="18"/>
    </w:rPr>
  </w:style>
  <w:style w:type="paragraph" w:customStyle="1" w:styleId="MarginEdition">
    <w:name w:val="Margin Edition"/>
    <w:basedOn w:val="MarginNote"/>
    <w:rsid w:val="00DB0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13F"/>
    <w:rPr>
      <w:sz w:val="2"/>
      <w:szCs w:val="2"/>
    </w:rPr>
  </w:style>
  <w:style w:type="character" w:customStyle="1" w:styleId="Small">
    <w:name w:val="Small"/>
    <w:basedOn w:val="DefaultParagraphFont"/>
    <w:rsid w:val="00DB013F"/>
    <w:rPr>
      <w:sz w:val="16"/>
    </w:rPr>
  </w:style>
  <w:style w:type="paragraph" w:customStyle="1" w:styleId="WideTable">
    <w:name w:val="Wide Table"/>
    <w:basedOn w:val="Normal"/>
    <w:rsid w:val="00DB0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13F"/>
  </w:style>
  <w:style w:type="paragraph" w:styleId="Quote">
    <w:name w:val="Quote"/>
    <w:basedOn w:val="Heading1"/>
    <w:link w:val="QuoteChar"/>
    <w:qFormat/>
    <w:rsid w:val="00DB0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13F"/>
    <w:pPr>
      <w:pageBreakBefore/>
    </w:pPr>
  </w:style>
  <w:style w:type="paragraph" w:customStyle="1" w:styleId="Border">
    <w:name w:val="Border"/>
    <w:basedOn w:val="Normal"/>
    <w:qFormat/>
    <w:rsid w:val="00DB0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13F"/>
    <w:rPr>
      <w:u w:val="single"/>
    </w:rPr>
  </w:style>
  <w:style w:type="character" w:customStyle="1" w:styleId="BoldandItalics">
    <w:name w:val="Bold and Italics"/>
    <w:qFormat/>
    <w:rsid w:val="00DB013F"/>
    <w:rPr>
      <w:b/>
      <w:i/>
      <w:u w:val="none"/>
    </w:rPr>
  </w:style>
  <w:style w:type="paragraph" w:styleId="BalloonText">
    <w:name w:val="Balloon Text"/>
    <w:basedOn w:val="Normal"/>
    <w:link w:val="BalloonTextChar"/>
    <w:rsid w:val="00DB0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1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3169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FWPCOT3338 Identify glues and gluing systems used in production of wood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2024-09-27T00:27:00Z</dcterms:created>
  <dcterms:modified xsi:type="dcterms:W3CDTF">2024-09-27T00:27:00Z</dcterms:modified>
</cp:coreProperties>
</file>