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40F" w:rsidP="00973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FWPCOT3338 Identify glues and gluing systems used in production of wood products</w:t>
      </w:r>
      <w:r>
        <w:fldChar w:fldCharType="end"/>
      </w:r>
    </w:p>
    <w:p w:rsidR="0097340F" w:rsidP="0097340F">
      <w:pPr>
        <w:pStyle w:val="Version"/>
        <w:sectPr w:rsidSect="00D50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360" w:rsidP="00D50360">
      <w:pPr>
        <w:pStyle w:val="SuperHeading"/>
      </w:pPr>
      <w:r w:rsidRPr="00D50360">
        <w:t>Assessment Requirements for FWPCOT3338 Identify glues and gluing systems used in production of wood products</w:t>
      </w:r>
    </w:p>
    <w:p w:rsidR="00000000" w:rsidRPr="00D50360" w:rsidP="00D50360">
      <w:pPr>
        <w:pStyle w:val="Heading1"/>
      </w:pPr>
      <w:bookmarkStart w:id="1" w:name="O_1241863"/>
      <w:bookmarkEnd w:id="1"/>
      <w:r w:rsidRPr="00D503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360">
            <w:pPr>
              <w:pStyle w:val="BodyTextBold"/>
              <w:rPr>
                <w:lang w:val="en-NZ"/>
              </w:rPr>
            </w:pPr>
            <w:r w:rsidRPr="00D503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360">
            <w:pPr>
              <w:pStyle w:val="BodyTextBold"/>
              <w:rPr>
                <w:lang w:val="en-NZ"/>
              </w:rPr>
            </w:pPr>
            <w:r w:rsidRPr="00D50360">
              <w:t>Comments</w:t>
            </w:r>
          </w:p>
        </w:tc>
      </w:tr>
      <w:tr w:rsidTr="00D50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360">
            <w:pPr>
              <w:pStyle w:val="BodyText"/>
              <w:rPr>
                <w:lang w:val="en-NZ"/>
              </w:rPr>
            </w:pPr>
            <w:r w:rsidRPr="00D503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360" w:rsidP="00D50360">
            <w:pPr>
              <w:pStyle w:val="BodyText"/>
            </w:pPr>
            <w:r w:rsidRPr="00D50360">
              <w:t>This version released with FWP Forest and Wood Products Training Package Version 8.0.</w:t>
            </w:r>
          </w:p>
        </w:tc>
      </w:tr>
    </w:tbl>
    <w:p w:rsidR="00000000" w:rsidRPr="00D50360" w:rsidP="00D50360">
      <w:pPr>
        <w:pStyle w:val="BodyText"/>
      </w:pPr>
    </w:p>
    <w:p w:rsidR="00000000" w:rsidRPr="00D50360" w:rsidP="00D50360">
      <w:pPr>
        <w:pStyle w:val="AllowPageBreak"/>
      </w:pPr>
    </w:p>
    <w:p w:rsidR="00000000" w:rsidRPr="00D50360" w:rsidP="00D50360">
      <w:pPr>
        <w:pStyle w:val="Heading1"/>
      </w:pPr>
      <w:bookmarkStart w:id="2" w:name="O_1241864"/>
      <w:bookmarkEnd w:id="2"/>
      <w:r w:rsidRPr="00D50360">
        <w:t>Performance Evidence</w:t>
      </w:r>
    </w:p>
    <w:p w:rsidR="00000000" w:rsidRPr="00D50360" w:rsidP="0097340F">
      <w:pPr>
        <w:pStyle w:val="BodyText"/>
      </w:pPr>
      <w:r w:rsidRPr="00D50360">
        <w:t xml:space="preserve">An individual demonstrating competency must satisfy all of the elements and performance criteria in this unit. </w:t>
      </w:r>
    </w:p>
    <w:p w:rsidR="00000000" w:rsidRPr="00D50360" w:rsidP="0097340F">
      <w:pPr>
        <w:pStyle w:val="BodyText"/>
      </w:pPr>
      <w:r w:rsidRPr="00D50360">
        <w:t>There must be ev</w:t>
      </w:r>
      <w:r w:rsidRPr="00D50360">
        <w:t>idence that the individual has researched glues and gluing systems used in production of wood products and documented the following:</w:t>
      </w:r>
    </w:p>
    <w:p w:rsidR="00000000" w:rsidRPr="00D50360" w:rsidP="00D50360">
      <w:pPr>
        <w:pStyle w:val="ListBullet"/>
      </w:pPr>
      <w:r w:rsidRPr="00D50360">
        <w:t>properties and applications of two glues selected from the following different types of glues:</w:t>
      </w:r>
    </w:p>
    <w:p w:rsidR="00000000" w:rsidRPr="00D50360" w:rsidP="00D50360">
      <w:pPr>
        <w:pStyle w:val="ListBullet2"/>
      </w:pPr>
      <w:r w:rsidRPr="00D50360">
        <w:t xml:space="preserve">synthetic or animal-based </w:t>
      </w:r>
      <w:r w:rsidRPr="00D50360">
        <w:t>adhesives</w:t>
      </w:r>
    </w:p>
    <w:p w:rsidR="00000000" w:rsidRPr="00D50360" w:rsidP="00D50360">
      <w:pPr>
        <w:pStyle w:val="ListBullet2"/>
      </w:pPr>
      <w:r w:rsidRPr="00D50360">
        <w:t>rubber-based adhesives</w:t>
      </w:r>
    </w:p>
    <w:p w:rsidR="00000000" w:rsidRPr="00D50360" w:rsidP="00D50360">
      <w:pPr>
        <w:pStyle w:val="ListBullet2"/>
      </w:pPr>
      <w:r w:rsidRPr="00D50360">
        <w:t>polyvinyl acetate</w:t>
      </w:r>
    </w:p>
    <w:p w:rsidR="00000000" w:rsidRPr="00D50360" w:rsidP="00D50360">
      <w:pPr>
        <w:pStyle w:val="ListBullet2"/>
      </w:pPr>
      <w:r w:rsidRPr="00D50360">
        <w:t>epoxy resins</w:t>
      </w:r>
    </w:p>
    <w:p w:rsidR="00000000" w:rsidRPr="00D50360" w:rsidP="00D50360">
      <w:pPr>
        <w:pStyle w:val="ListBullet2"/>
      </w:pPr>
      <w:r w:rsidRPr="00D50360">
        <w:t xml:space="preserve">formaldehydes – resorcinol formaldehyde (RF), phenol resorcinol formaldehyde (PRF), melamine urea formaldehyde (MUF) </w:t>
      </w:r>
    </w:p>
    <w:p w:rsidR="00000000" w:rsidRPr="00D50360" w:rsidP="00D50360">
      <w:pPr>
        <w:pStyle w:val="ListBullet2"/>
      </w:pPr>
      <w:r w:rsidRPr="00D50360">
        <w:t>polyurethanes</w:t>
      </w:r>
    </w:p>
    <w:p w:rsidR="00000000" w:rsidRPr="00D50360" w:rsidP="00D50360">
      <w:pPr>
        <w:pStyle w:val="ListBullet"/>
      </w:pPr>
      <w:r w:rsidRPr="00D50360">
        <w:t>functions, components, operating parameters and processing capacity of one semi-automatic or one automatic system for dosing, mixing and applying glues that is used in the production of wood products</w:t>
      </w:r>
    </w:p>
    <w:p w:rsidR="00000000" w:rsidRPr="00D50360" w:rsidP="00D50360">
      <w:pPr>
        <w:pStyle w:val="ListBullet"/>
      </w:pPr>
      <w:r w:rsidRPr="00D50360">
        <w:t>legislation, standards and codes of practice relevant to</w:t>
      </w:r>
      <w:r w:rsidRPr="00D50360">
        <w:t xml:space="preserve"> gluing operations </w:t>
      </w:r>
    </w:p>
    <w:p w:rsidR="00000000" w:rsidRPr="00D50360" w:rsidP="00D50360">
      <w:pPr>
        <w:pStyle w:val="ListBullet"/>
      </w:pPr>
      <w:r w:rsidRPr="00D50360">
        <w:t>glue testing procedure used for checking one of the following features of one type of glue:</w:t>
      </w:r>
    </w:p>
    <w:p w:rsidR="00000000" w:rsidRPr="00D50360" w:rsidP="00D50360">
      <w:pPr>
        <w:pStyle w:val="ListBullet2"/>
      </w:pPr>
      <w:r w:rsidRPr="00D50360">
        <w:t>mix quantities</w:t>
      </w:r>
    </w:p>
    <w:p w:rsidR="00000000" w:rsidRPr="00D50360" w:rsidP="00D50360">
      <w:pPr>
        <w:pStyle w:val="ListBullet2"/>
      </w:pPr>
      <w:r w:rsidRPr="00D50360">
        <w:t>setting speed</w:t>
      </w:r>
    </w:p>
    <w:p w:rsidR="00000000" w:rsidRPr="00D50360" w:rsidP="00D50360">
      <w:pPr>
        <w:pStyle w:val="ListBullet2"/>
      </w:pPr>
      <w:r w:rsidRPr="00D50360">
        <w:t>how weather conditions may be affecting the process</w:t>
      </w:r>
    </w:p>
    <w:p w:rsidR="00000000" w:rsidRPr="00D50360" w:rsidP="00D50360">
      <w:pPr>
        <w:pStyle w:val="ListBullet"/>
      </w:pPr>
      <w:r w:rsidRPr="00D50360">
        <w:t>likely cause of one adhesion failure.</w:t>
      </w:r>
    </w:p>
    <w:p w:rsidR="00000000" w:rsidRPr="00D50360" w:rsidP="00D50360">
      <w:pPr>
        <w:pStyle w:val="AllowPageBreak"/>
      </w:pPr>
    </w:p>
    <w:p w:rsidR="00000000" w:rsidRPr="00D50360" w:rsidP="00D50360">
      <w:pPr>
        <w:pStyle w:val="Heading1"/>
      </w:pPr>
      <w:bookmarkStart w:id="3" w:name="O_1241865"/>
      <w:bookmarkEnd w:id="3"/>
      <w:r w:rsidRPr="00D50360">
        <w:t>Know</w:t>
      </w:r>
      <w:r w:rsidRPr="00D50360">
        <w:t>ledge Evidence</w:t>
      </w:r>
    </w:p>
    <w:p w:rsidR="00000000" w:rsidRPr="00D50360" w:rsidP="0097340F">
      <w:pPr>
        <w:pStyle w:val="BodyText"/>
      </w:pPr>
      <w:r w:rsidRPr="00D50360">
        <w:t>An individual must be able to demonstrate the knowledge required to perform the tasks outlined in the elements and performance criteria of this unit. This includes knowledge of:</w:t>
      </w:r>
    </w:p>
    <w:p w:rsidR="00000000" w:rsidRPr="00D50360" w:rsidP="00D50360">
      <w:pPr>
        <w:pStyle w:val="ListBullet"/>
      </w:pPr>
      <w:r w:rsidRPr="00D50360">
        <w:t>types, properties, preparation and applications, at a basic level of understanding, of glues used in production of wood products, including:</w:t>
      </w:r>
    </w:p>
    <w:p w:rsidR="00000000" w:rsidRPr="00D50360" w:rsidP="00D50360">
      <w:pPr>
        <w:pStyle w:val="ListBullet2"/>
      </w:pPr>
      <w:r w:rsidRPr="00D50360">
        <w:t>synthetic or animal-based adhesives</w:t>
      </w:r>
    </w:p>
    <w:p w:rsidR="00000000" w:rsidRPr="00D50360" w:rsidP="00D50360">
      <w:pPr>
        <w:pStyle w:val="ListBullet2"/>
      </w:pPr>
      <w:r w:rsidRPr="00D50360">
        <w:t>rubber-based adhesives</w:t>
      </w:r>
    </w:p>
    <w:p w:rsidR="00000000" w:rsidRPr="00D50360" w:rsidP="00D50360">
      <w:pPr>
        <w:pStyle w:val="ListBullet2"/>
      </w:pPr>
      <w:r w:rsidRPr="00D50360">
        <w:t>polyvinyl acetate</w:t>
      </w:r>
    </w:p>
    <w:p w:rsidR="00000000" w:rsidRPr="00D50360" w:rsidP="00D50360">
      <w:pPr>
        <w:pStyle w:val="ListBullet2"/>
      </w:pPr>
      <w:r w:rsidRPr="00D50360">
        <w:t>epoxy resins</w:t>
      </w:r>
    </w:p>
    <w:p w:rsidR="00000000" w:rsidRPr="00D50360" w:rsidP="00D50360">
      <w:pPr>
        <w:pStyle w:val="ListBullet2"/>
      </w:pPr>
      <w:r w:rsidRPr="00D50360">
        <w:t>formaldehydes – RF, PRF,</w:t>
      </w:r>
      <w:r w:rsidRPr="00D50360">
        <w:t xml:space="preserve"> MUF </w:t>
      </w:r>
    </w:p>
    <w:p w:rsidR="00000000" w:rsidRPr="00D50360" w:rsidP="00D50360">
      <w:pPr>
        <w:pStyle w:val="ListBullet2"/>
      </w:pPr>
      <w:r w:rsidRPr="00D50360">
        <w:t>polyurethanes</w:t>
      </w:r>
    </w:p>
    <w:p w:rsidR="00000000" w:rsidRPr="00D50360" w:rsidP="00D50360">
      <w:pPr>
        <w:pStyle w:val="ListBullet"/>
      </w:pPr>
      <w:r w:rsidRPr="00D50360">
        <w:t xml:space="preserve">key requirements of legislation, standards and codes of practice relevant to gluing operations </w:t>
      </w:r>
    </w:p>
    <w:p w:rsidR="00000000" w:rsidRPr="00D50360" w:rsidP="00D50360">
      <w:pPr>
        <w:pStyle w:val="ListBullet"/>
      </w:pPr>
      <w:r w:rsidRPr="00D50360">
        <w:t>exposure categories of glue types – internal, exterior protected, exterior exposed</w:t>
      </w:r>
    </w:p>
    <w:p w:rsidR="00000000" w:rsidRPr="00D50360" w:rsidP="00D50360">
      <w:pPr>
        <w:pStyle w:val="ListBullet"/>
      </w:pPr>
      <w:r w:rsidRPr="00D50360">
        <w:t>commercial product names of glue types used in productio</w:t>
      </w:r>
      <w:r w:rsidRPr="00D50360">
        <w:t>n of wood products</w:t>
      </w:r>
    </w:p>
    <w:p w:rsidR="00000000" w:rsidRPr="00D50360" w:rsidP="00D50360">
      <w:pPr>
        <w:pStyle w:val="ListBullet"/>
      </w:pPr>
      <w:r w:rsidRPr="00D50360">
        <w:t>safe practices for handling, transporting, storing and disposing of glue, glue waste and containers</w:t>
      </w:r>
    </w:p>
    <w:p w:rsidR="00000000" w:rsidRPr="00D50360" w:rsidP="00D50360">
      <w:pPr>
        <w:pStyle w:val="ListBullet"/>
      </w:pPr>
      <w:r w:rsidRPr="00D50360">
        <w:t>shelf-life of glues used in production of wood products, including:</w:t>
      </w:r>
    </w:p>
    <w:p w:rsidR="00000000" w:rsidRPr="00D50360" w:rsidP="00D50360">
      <w:pPr>
        <w:pStyle w:val="ListBullet2"/>
      </w:pPr>
      <w:r w:rsidRPr="00D50360">
        <w:t xml:space="preserve">factors that influence shelf-life of glues – temperature, humidity, </w:t>
      </w:r>
      <w:r w:rsidRPr="00D50360">
        <w:t xml:space="preserve">type of glue, viscosity, mix time, excessive hardener </w:t>
      </w:r>
    </w:p>
    <w:p w:rsidR="00000000" w:rsidRPr="00D50360" w:rsidP="00D50360">
      <w:pPr>
        <w:pStyle w:val="ListBullet2"/>
      </w:pPr>
      <w:r w:rsidRPr="00D50360">
        <w:t xml:space="preserve">work practices that maximise shelf-life – stock rotation, temperature control, and airtight containers </w:t>
      </w:r>
    </w:p>
    <w:p w:rsidR="00000000" w:rsidRPr="00D50360" w:rsidP="00D50360">
      <w:pPr>
        <w:pStyle w:val="ListBullet"/>
      </w:pPr>
      <w:r w:rsidRPr="00D50360">
        <w:t>factors that influence glue application and bonding in the production of wood products, including:</w:t>
      </w:r>
    </w:p>
    <w:p w:rsidR="00000000" w:rsidRPr="00D50360" w:rsidP="00D50360">
      <w:pPr>
        <w:pStyle w:val="ListBullet2"/>
      </w:pPr>
      <w:r w:rsidRPr="00D50360">
        <w:t>shelf-life</w:t>
      </w:r>
    </w:p>
    <w:p w:rsidR="00000000" w:rsidRPr="00D50360" w:rsidP="00D50360">
      <w:pPr>
        <w:pStyle w:val="ListBullet2"/>
      </w:pPr>
      <w:r w:rsidRPr="00D50360">
        <w:t>storage temperature</w:t>
      </w:r>
    </w:p>
    <w:p w:rsidR="00000000" w:rsidRPr="00D50360" w:rsidP="00D50360">
      <w:pPr>
        <w:pStyle w:val="ListBullet2"/>
      </w:pPr>
      <w:r w:rsidRPr="00D50360">
        <w:t>accurate measurement of ingredients</w:t>
      </w:r>
    </w:p>
    <w:p w:rsidR="00000000" w:rsidRPr="00D50360" w:rsidP="00D50360">
      <w:pPr>
        <w:pStyle w:val="ListBullet2"/>
      </w:pPr>
      <w:r w:rsidRPr="00D50360">
        <w:t>accurate mixing</w:t>
      </w:r>
    </w:p>
    <w:p w:rsidR="00000000" w:rsidRPr="00D50360" w:rsidP="00D50360">
      <w:pPr>
        <w:pStyle w:val="ListBullet2"/>
      </w:pPr>
      <w:r w:rsidRPr="00D50360">
        <w:t>correct glue spread</w:t>
      </w:r>
    </w:p>
    <w:p w:rsidR="00000000" w:rsidRPr="00D50360" w:rsidP="00D50360">
      <w:pPr>
        <w:pStyle w:val="ListBullet2"/>
      </w:pPr>
      <w:r w:rsidRPr="00D50360">
        <w:t>correct open assembly time</w:t>
      </w:r>
    </w:p>
    <w:p w:rsidR="00000000" w:rsidRPr="00D50360" w:rsidP="00D50360">
      <w:pPr>
        <w:pStyle w:val="ListBullet"/>
      </w:pPr>
      <w:r w:rsidRPr="00D50360">
        <w:t>glue ingredient specifica</w:t>
      </w:r>
      <w:r w:rsidRPr="00D50360">
        <w:t>tions for the production of wood products</w:t>
      </w:r>
    </w:p>
    <w:p w:rsidR="00000000" w:rsidRPr="00D50360" w:rsidP="00D50360">
      <w:pPr>
        <w:pStyle w:val="ListBullet"/>
      </w:pPr>
      <w:r w:rsidRPr="00D50360">
        <w:t>health and safety hazards or risks related to glues and additives used in the production of wood products, as identified through risk assessments, manufacturer technical information, regulations and industry health</w:t>
      </w:r>
      <w:r w:rsidRPr="00D50360">
        <w:t xml:space="preserve"> and safety guides</w:t>
      </w:r>
    </w:p>
    <w:p w:rsidR="00000000" w:rsidRPr="00D50360" w:rsidP="00D50360">
      <w:pPr>
        <w:pStyle w:val="ListBullet"/>
      </w:pPr>
      <w:r w:rsidRPr="00D50360">
        <w:t>methods used in the production of wood products to:</w:t>
      </w:r>
    </w:p>
    <w:p w:rsidR="00000000" w:rsidRPr="00D50360" w:rsidP="00D50360">
      <w:pPr>
        <w:pStyle w:val="ListBullet2"/>
      </w:pPr>
      <w:r w:rsidRPr="00D50360">
        <w:t xml:space="preserve">test samples </w:t>
      </w:r>
    </w:p>
    <w:p w:rsidR="00000000" w:rsidRPr="00D50360" w:rsidP="00D50360">
      <w:pPr>
        <w:pStyle w:val="ListBullet2"/>
      </w:pPr>
      <w:r w:rsidRPr="00D50360">
        <w:t>safely store glues</w:t>
      </w:r>
    </w:p>
    <w:p w:rsidR="00000000" w:rsidRPr="00D50360" w:rsidP="00D50360">
      <w:pPr>
        <w:pStyle w:val="ListBullet"/>
      </w:pPr>
      <w:r w:rsidRPr="00D50360">
        <w:t>types, functions, components, accessories and capacity of semi-automatic and automatic systems used in the production of wood products for dosing, mix</w:t>
      </w:r>
      <w:r w:rsidRPr="00D50360">
        <w:t>ing and applying glues</w:t>
      </w:r>
    </w:p>
    <w:p w:rsidR="00000000" w:rsidRPr="00D50360" w:rsidP="00D50360">
      <w:pPr>
        <w:pStyle w:val="ListBullet"/>
      </w:pPr>
      <w:r w:rsidRPr="00D50360">
        <w:t>sources of information on systems for dosing, mixing and applying glues</w:t>
      </w:r>
    </w:p>
    <w:p w:rsidR="00000000" w:rsidRPr="00D50360" w:rsidP="00D50360">
      <w:pPr>
        <w:pStyle w:val="ListBullet"/>
      </w:pPr>
      <w:r w:rsidRPr="00D50360">
        <w:t>reasons for using glue dosing, mixing and application systems in the production of wood products, including:</w:t>
      </w:r>
    </w:p>
    <w:p w:rsidR="00000000" w:rsidRPr="00D50360" w:rsidP="00D50360">
      <w:pPr>
        <w:pStyle w:val="ListBullet2"/>
      </w:pPr>
      <w:r w:rsidRPr="00D50360">
        <w:t>speed</w:t>
      </w:r>
    </w:p>
    <w:p w:rsidR="00000000" w:rsidRPr="00D50360" w:rsidP="00D50360">
      <w:pPr>
        <w:pStyle w:val="ListBullet2"/>
      </w:pPr>
      <w:r w:rsidRPr="00D50360">
        <w:t>controlling accuracy</w:t>
      </w:r>
    </w:p>
    <w:p w:rsidR="00000000" w:rsidRPr="00D50360" w:rsidP="00D50360">
      <w:pPr>
        <w:pStyle w:val="ListBullet2"/>
      </w:pPr>
      <w:r w:rsidRPr="00D50360">
        <w:t>consistency of product dimensions</w:t>
      </w:r>
    </w:p>
    <w:p w:rsidR="00000000" w:rsidRPr="00D50360" w:rsidP="00D50360">
      <w:pPr>
        <w:pStyle w:val="ListBullet2"/>
      </w:pPr>
      <w:r w:rsidRPr="00D50360">
        <w:t>reducing mechanical injury</w:t>
      </w:r>
    </w:p>
    <w:p w:rsidR="00000000" w:rsidRPr="00D50360" w:rsidP="00D50360">
      <w:pPr>
        <w:pStyle w:val="ListBullet"/>
      </w:pPr>
      <w:r w:rsidRPr="00D50360">
        <w:t>causes of adhesion failure in the production of wood products.</w:t>
      </w:r>
    </w:p>
    <w:p w:rsidR="00000000" w:rsidRPr="00D50360" w:rsidP="00D50360">
      <w:pPr>
        <w:pStyle w:val="AllowPageBreak"/>
      </w:pPr>
    </w:p>
    <w:p w:rsidR="00000000" w:rsidRPr="00D50360" w:rsidP="00D50360">
      <w:pPr>
        <w:pStyle w:val="Heading1"/>
      </w:pPr>
      <w:bookmarkStart w:id="4" w:name="O_1241866"/>
      <w:bookmarkEnd w:id="4"/>
      <w:r w:rsidRPr="00D50360">
        <w:t>Assessment Conditions</w:t>
      </w:r>
    </w:p>
    <w:p w:rsidR="00000000" w:rsidRPr="00D50360" w:rsidP="0097340F">
      <w:pPr>
        <w:pStyle w:val="BodyText"/>
      </w:pPr>
      <w:r w:rsidRPr="00D50360">
        <w:t>Assessment of the skills in this unit of competency must take place under the following co</w:t>
      </w:r>
      <w:r w:rsidRPr="00D50360">
        <w:t>nditions:</w:t>
      </w:r>
      <w:r w:rsidRPr="00D50360">
        <w:rPr>
          <w:rStyle w:val="Emphasis"/>
        </w:rPr>
        <w:t xml:space="preserve"> </w:t>
      </w:r>
    </w:p>
    <w:p w:rsidR="00000000" w:rsidRPr="00D50360" w:rsidP="00D50360">
      <w:pPr>
        <w:pStyle w:val="ListBullet"/>
      </w:pPr>
      <w:r w:rsidRPr="00D50360">
        <w:t>physical conditions:</w:t>
      </w:r>
    </w:p>
    <w:p w:rsidR="00000000" w:rsidRPr="00D50360" w:rsidP="00D50360">
      <w:pPr>
        <w:pStyle w:val="ListBullet2"/>
      </w:pPr>
      <w:r w:rsidRPr="00D50360">
        <w:t>skills must be demonstrated in a timber processing plant, a timber product manufacturing plant or an environment that accurately represents workplace conditions</w:t>
      </w:r>
    </w:p>
    <w:p w:rsidR="00000000" w:rsidRPr="00D50360" w:rsidP="00D50360">
      <w:pPr>
        <w:pStyle w:val="ListBullet"/>
      </w:pPr>
      <w:r w:rsidRPr="00D50360">
        <w:t>resources, equipment and materials:</w:t>
      </w:r>
    </w:p>
    <w:p w:rsidR="00000000" w:rsidRPr="00D50360" w:rsidP="00D50360">
      <w:pPr>
        <w:pStyle w:val="ListBullet2"/>
      </w:pPr>
      <w:r w:rsidRPr="00D50360">
        <w:t>internet access and com</w:t>
      </w:r>
      <w:r w:rsidRPr="00D50360">
        <w:t>puter software and hardware for accessing technical information on glues and gluing systems used in the production of wood products</w:t>
      </w:r>
    </w:p>
    <w:p w:rsidR="00000000" w:rsidRPr="00D50360" w:rsidP="00D50360">
      <w:pPr>
        <w:pStyle w:val="ListBullet"/>
      </w:pPr>
      <w:r w:rsidRPr="00D50360">
        <w:t>specifications:</w:t>
      </w:r>
    </w:p>
    <w:p w:rsidR="00000000" w:rsidRPr="00D50360" w:rsidP="00D50360">
      <w:pPr>
        <w:pStyle w:val="ListBullet2"/>
      </w:pPr>
      <w:r w:rsidRPr="00D50360">
        <w:t>legislation, standards and codes of practice relevant to wood products gluing operations</w:t>
      </w:r>
    </w:p>
    <w:p w:rsidR="00000000" w:rsidRPr="00D50360" w:rsidP="00D50360">
      <w:pPr>
        <w:pStyle w:val="ListBullet2"/>
      </w:pPr>
      <w:r w:rsidRPr="00D50360">
        <w:t>industry guides and standard references on glues and gluing systems used in the production of wood products.</w:t>
      </w:r>
    </w:p>
    <w:p w:rsidR="00000000" w:rsidRPr="00D50360" w:rsidP="0097340F">
      <w:pPr>
        <w:pStyle w:val="BodyText"/>
      </w:pPr>
      <w:r w:rsidRPr="00D50360">
        <w:t>Assessors of this unit must satisfy the requirements for assessors in applicable vocational education and training legislation, frameworks and/or s</w:t>
      </w:r>
      <w:r w:rsidRPr="00D50360">
        <w:t>tandards.</w:t>
      </w:r>
    </w:p>
    <w:p w:rsidR="00000000" w:rsidRPr="00D50360" w:rsidP="00D50360">
      <w:pPr>
        <w:pStyle w:val="Heading1"/>
      </w:pPr>
      <w:bookmarkStart w:id="5" w:name="O_1241869"/>
      <w:bookmarkEnd w:id="5"/>
      <w:r w:rsidRPr="00D50360">
        <w:t>Links</w:t>
      </w:r>
    </w:p>
    <w:p w:rsidR="00000000" w:rsidRPr="00D50360" w:rsidP="0097340F">
      <w:pPr>
        <w:pStyle w:val="BodyText"/>
      </w:pPr>
      <w:r w:rsidRPr="00D503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15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50360" w:rsidP="00D50360"/>
    <w:sectPr w:rsidSect="00D50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60" w:rsidRPr="0097340F" w:rsidP="00973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F" w:rsidP="00D50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40F" w:rsidP="00D50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340F" w:rsidP="00D50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360" w:rsidRPr="0097340F" w:rsidP="00973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F" w:rsidRPr="002D2AF8" w:rsidP="00D50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FWPCOT3338 Identify glues and gluing systems used in production of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7340F" w:rsidP="00D50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26A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184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42B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360"/>
  </w:style>
  <w:style w:type="character" w:customStyle="1" w:styleId="Heading1Char">
    <w:name w:val="Heading 1 Char"/>
    <w:basedOn w:val="DefaultParagraphFont"/>
    <w:link w:val="Heading1"/>
    <w:rsid w:val="00D50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3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03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0360"/>
    <w:rPr>
      <w:i/>
    </w:rPr>
  </w:style>
  <w:style w:type="paragraph" w:customStyle="1" w:styleId="SuperHeading">
    <w:name w:val="SuperHeading"/>
    <w:basedOn w:val="Normal"/>
    <w:rsid w:val="00D50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0360"/>
    <w:rPr>
      <w:b/>
    </w:rPr>
  </w:style>
  <w:style w:type="character" w:customStyle="1" w:styleId="Heading2Char">
    <w:name w:val="Heading 2 Char"/>
    <w:basedOn w:val="DefaultParagraphFont"/>
    <w:link w:val="Heading2"/>
    <w:rsid w:val="00D50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360"/>
    <w:rPr>
      <w:b/>
      <w:spacing w:val="0"/>
    </w:rPr>
  </w:style>
  <w:style w:type="paragraph" w:customStyle="1" w:styleId="SuperTitle">
    <w:name w:val="SuperTitle"/>
    <w:basedOn w:val="Title"/>
    <w:rsid w:val="00D50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360"/>
  </w:style>
  <w:style w:type="paragraph" w:styleId="TableofFigures">
    <w:name w:val="table of figures"/>
    <w:basedOn w:val="Normal"/>
    <w:next w:val="Normal"/>
    <w:semiHidden/>
    <w:rsid w:val="00D50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3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360"/>
    <w:rPr>
      <w:rFonts w:ascii="Wingdings" w:hAnsi="Wingdings"/>
    </w:rPr>
  </w:style>
  <w:style w:type="paragraph" w:customStyle="1" w:styleId="TableHeading">
    <w:name w:val="Table Heading"/>
    <w:basedOn w:val="HeadingBase"/>
    <w:rsid w:val="00D50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360"/>
    <w:rPr>
      <w:color w:val="0033CC"/>
      <w:u w:val="none"/>
    </w:rPr>
  </w:style>
  <w:style w:type="paragraph" w:customStyle="1" w:styleId="BodyTextRight">
    <w:name w:val="Body Text Right"/>
    <w:basedOn w:val="BodyText"/>
    <w:rsid w:val="00D50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3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360"/>
    <w:rPr>
      <w:sz w:val="32"/>
    </w:rPr>
  </w:style>
  <w:style w:type="paragraph" w:customStyle="1" w:styleId="HeadingProcedure">
    <w:name w:val="Heading Procedure"/>
    <w:basedOn w:val="HeadingBase"/>
    <w:next w:val="Normal"/>
    <w:rsid w:val="00D50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360"/>
    <w:pPr>
      <w:spacing w:before="60" w:after="60"/>
    </w:pPr>
  </w:style>
  <w:style w:type="paragraph" w:styleId="ListContinue">
    <w:name w:val="List Continue"/>
    <w:basedOn w:val="List"/>
    <w:rsid w:val="00D50360"/>
    <w:pPr>
      <w:ind w:firstLine="0"/>
    </w:pPr>
  </w:style>
  <w:style w:type="paragraph" w:customStyle="1" w:styleId="ListNote">
    <w:name w:val="List Note"/>
    <w:basedOn w:val="List"/>
    <w:rsid w:val="00D50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360"/>
    <w:rPr>
      <w:rFonts w:ascii="Courier New" w:hAnsi="Courier New"/>
    </w:rPr>
  </w:style>
  <w:style w:type="paragraph" w:customStyle="1" w:styleId="NoteBullet">
    <w:name w:val="Note Bullet"/>
    <w:basedOn w:val="Note"/>
    <w:rsid w:val="00D50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3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360"/>
    <w:rPr>
      <w:b/>
      <w:smallCaps/>
    </w:rPr>
  </w:style>
  <w:style w:type="paragraph" w:customStyle="1" w:styleId="TableListNumber">
    <w:name w:val="Table List Number"/>
    <w:basedOn w:val="ListNumber"/>
    <w:rsid w:val="00D50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360"/>
    <w:pPr>
      <w:numPr>
        <w:numId w:val="9"/>
      </w:numPr>
    </w:pPr>
  </w:style>
  <w:style w:type="paragraph" w:customStyle="1" w:styleId="ListAlpha2">
    <w:name w:val="List Alpha 2"/>
    <w:basedOn w:val="List2"/>
    <w:rsid w:val="00D50360"/>
    <w:pPr>
      <w:numPr>
        <w:numId w:val="8"/>
      </w:numPr>
    </w:pPr>
  </w:style>
  <w:style w:type="paragraph" w:styleId="List2">
    <w:name w:val="List 2"/>
    <w:basedOn w:val="BodyText"/>
    <w:rsid w:val="00D50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3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3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360"/>
    <w:pPr>
      <w:numPr>
        <w:numId w:val="4"/>
      </w:numPr>
    </w:pPr>
  </w:style>
  <w:style w:type="paragraph" w:styleId="ListContinue2">
    <w:name w:val="List Continue 2"/>
    <w:basedOn w:val="List2"/>
    <w:rsid w:val="00D50360"/>
    <w:pPr>
      <w:ind w:firstLine="0"/>
    </w:pPr>
  </w:style>
  <w:style w:type="paragraph" w:styleId="ListContinue3">
    <w:name w:val="List Continue 3"/>
    <w:basedOn w:val="List3"/>
    <w:rsid w:val="00D50360"/>
    <w:pPr>
      <w:ind w:left="1021" w:firstLine="0"/>
    </w:pPr>
  </w:style>
  <w:style w:type="paragraph" w:styleId="ListContinue4">
    <w:name w:val="List Continue 4"/>
    <w:basedOn w:val="List4"/>
    <w:rsid w:val="00D50360"/>
    <w:pPr>
      <w:ind w:firstLine="0"/>
    </w:pPr>
  </w:style>
  <w:style w:type="paragraph" w:styleId="ListContinue5">
    <w:name w:val="List Continue 5"/>
    <w:basedOn w:val="List5"/>
    <w:rsid w:val="00D50360"/>
    <w:pPr>
      <w:ind w:firstLine="0"/>
    </w:pPr>
  </w:style>
  <w:style w:type="paragraph" w:styleId="ListNumber3">
    <w:name w:val="List Number 3"/>
    <w:basedOn w:val="List3"/>
    <w:rsid w:val="00D50360"/>
    <w:pPr>
      <w:numPr>
        <w:numId w:val="5"/>
      </w:numPr>
    </w:pPr>
  </w:style>
  <w:style w:type="paragraph" w:styleId="ListNumber4">
    <w:name w:val="List Number 4"/>
    <w:basedOn w:val="List4"/>
    <w:rsid w:val="00D50360"/>
    <w:pPr>
      <w:numPr>
        <w:numId w:val="6"/>
      </w:numPr>
    </w:pPr>
  </w:style>
  <w:style w:type="paragraph" w:styleId="ListNumber5">
    <w:name w:val="List Number 5"/>
    <w:basedOn w:val="List5"/>
    <w:rsid w:val="00D50360"/>
    <w:pPr>
      <w:numPr>
        <w:numId w:val="7"/>
      </w:numPr>
    </w:pPr>
  </w:style>
  <w:style w:type="paragraph" w:styleId="BlockText">
    <w:name w:val="Block Text"/>
    <w:basedOn w:val="Normal"/>
    <w:rsid w:val="00D50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360"/>
    <w:rPr>
      <w:sz w:val="16"/>
      <w:vertAlign w:val="superscript"/>
    </w:rPr>
  </w:style>
  <w:style w:type="character" w:customStyle="1" w:styleId="Symbols">
    <w:name w:val="Symbols"/>
    <w:basedOn w:val="DefaultParagraphFont"/>
    <w:rsid w:val="00D50360"/>
    <w:rPr>
      <w:rFonts w:ascii="Symbol" w:hAnsi="Symbol"/>
    </w:rPr>
  </w:style>
  <w:style w:type="character" w:customStyle="1" w:styleId="MenuOptions">
    <w:name w:val="Menu Options"/>
    <w:basedOn w:val="DefaultParagraphFont"/>
    <w:rsid w:val="00D50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360"/>
    <w:rPr>
      <w:b/>
    </w:rPr>
  </w:style>
  <w:style w:type="character" w:customStyle="1" w:styleId="Underlined">
    <w:name w:val="Underlined"/>
    <w:basedOn w:val="DefaultParagraphFont"/>
    <w:rsid w:val="00D50360"/>
    <w:rPr>
      <w:u w:val="single"/>
    </w:rPr>
  </w:style>
  <w:style w:type="paragraph" w:customStyle="1" w:styleId="TableBodyTextRight">
    <w:name w:val="Table Body Text Right"/>
    <w:basedOn w:val="TableBodyText"/>
    <w:rsid w:val="00D50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360"/>
    <w:rPr>
      <w:sz w:val="18"/>
    </w:rPr>
  </w:style>
  <w:style w:type="paragraph" w:customStyle="1" w:styleId="BodySmallRight">
    <w:name w:val="Body Small Right"/>
    <w:basedOn w:val="BodyTextRight"/>
    <w:rsid w:val="00D50360"/>
    <w:rPr>
      <w:sz w:val="18"/>
      <w:szCs w:val="18"/>
    </w:rPr>
  </w:style>
  <w:style w:type="paragraph" w:customStyle="1" w:styleId="MarginEdition">
    <w:name w:val="Margin Edition"/>
    <w:basedOn w:val="MarginNote"/>
    <w:rsid w:val="00D50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360"/>
    <w:rPr>
      <w:sz w:val="2"/>
      <w:szCs w:val="2"/>
    </w:rPr>
  </w:style>
  <w:style w:type="character" w:customStyle="1" w:styleId="Small">
    <w:name w:val="Small"/>
    <w:basedOn w:val="DefaultParagraphFont"/>
    <w:rsid w:val="00D50360"/>
    <w:rPr>
      <w:sz w:val="16"/>
    </w:rPr>
  </w:style>
  <w:style w:type="paragraph" w:customStyle="1" w:styleId="WideTable">
    <w:name w:val="Wide Table"/>
    <w:basedOn w:val="Normal"/>
    <w:rsid w:val="00D50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360"/>
  </w:style>
  <w:style w:type="paragraph" w:styleId="Quote">
    <w:name w:val="Quote"/>
    <w:basedOn w:val="Heading1"/>
    <w:link w:val="QuoteChar"/>
    <w:qFormat/>
    <w:rsid w:val="00D50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360"/>
    <w:pPr>
      <w:pageBreakBefore/>
    </w:pPr>
  </w:style>
  <w:style w:type="paragraph" w:customStyle="1" w:styleId="Border">
    <w:name w:val="Border"/>
    <w:basedOn w:val="Normal"/>
    <w:qFormat/>
    <w:rsid w:val="00D50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360"/>
    <w:rPr>
      <w:u w:val="single"/>
    </w:rPr>
  </w:style>
  <w:style w:type="character" w:customStyle="1" w:styleId="BoldandItalics">
    <w:name w:val="Bold and Italics"/>
    <w:qFormat/>
    <w:rsid w:val="00D50360"/>
    <w:rPr>
      <w:b/>
      <w:i/>
      <w:u w:val="none"/>
    </w:rPr>
  </w:style>
  <w:style w:type="paragraph" w:styleId="BalloonText">
    <w:name w:val="Balloon Text"/>
    <w:basedOn w:val="Normal"/>
    <w:link w:val="BalloonTextChar"/>
    <w:rsid w:val="00D50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3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3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4243</Characters>
  <Application>Microsoft Office Word</Application>
  <DocSecurity>0</DocSecurity>
  <Lines>114</Lines>
  <Paragraphs>86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FWPCOT3338 Identify glues and gluing systems used in production of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