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CE8" w:rsidP="00865C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FWPCOT3324 Apply cultural heritage protection requirements in forest operations</w:t>
      </w:r>
      <w:r>
        <w:fldChar w:fldCharType="end"/>
      </w:r>
    </w:p>
    <w:p w:rsidR="00865CE8" w:rsidP="00865CE8">
      <w:pPr>
        <w:pStyle w:val="Version"/>
        <w:sectPr w:rsidSect="003470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0A9" w:rsidP="003470A9">
      <w:pPr>
        <w:pStyle w:val="SuperHeading"/>
      </w:pPr>
      <w:r w:rsidRPr="003470A9">
        <w:t>Assessment Requirements for FWPCOT3324 Apply cultural heritage protection requirements in forest operations</w:t>
      </w:r>
    </w:p>
    <w:p w:rsidR="00000000" w:rsidRPr="003470A9" w:rsidP="003470A9">
      <w:pPr>
        <w:pStyle w:val="Heading1"/>
      </w:pPr>
      <w:bookmarkStart w:id="1" w:name="O_1207230"/>
      <w:bookmarkEnd w:id="1"/>
      <w:r w:rsidRPr="003470A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A9">
            <w:pPr>
              <w:pStyle w:val="BodyTextBold"/>
              <w:rPr>
                <w:lang w:val="en-NZ"/>
              </w:rPr>
            </w:pPr>
            <w:r w:rsidRPr="003470A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A9">
            <w:pPr>
              <w:pStyle w:val="BodyTextBold"/>
              <w:rPr>
                <w:lang w:val="en-NZ"/>
              </w:rPr>
            </w:pPr>
            <w:r w:rsidRPr="003470A9">
              <w:t>Comments</w:t>
            </w:r>
          </w:p>
        </w:tc>
      </w:tr>
      <w:tr w:rsidTr="003470A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0A9">
            <w:pPr>
              <w:pStyle w:val="BodyText"/>
              <w:rPr>
                <w:lang w:val="en-NZ"/>
              </w:rPr>
            </w:pPr>
            <w:r w:rsidRPr="003470A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0A9" w:rsidP="003470A9">
            <w:pPr>
              <w:pStyle w:val="BodyText"/>
            </w:pPr>
            <w:r w:rsidRPr="003470A9">
              <w:t>This version released with FWP Forest and Wood Products Training Package Version 7.0.</w:t>
            </w:r>
          </w:p>
        </w:tc>
      </w:tr>
    </w:tbl>
    <w:p w:rsidR="00000000" w:rsidRPr="003470A9" w:rsidP="003470A9">
      <w:pPr>
        <w:pStyle w:val="BodyText"/>
      </w:pPr>
    </w:p>
    <w:p w:rsidR="00000000" w:rsidRPr="003470A9" w:rsidP="003470A9">
      <w:pPr>
        <w:pStyle w:val="AllowPageBreak"/>
      </w:pPr>
    </w:p>
    <w:p w:rsidR="00000000" w:rsidRPr="003470A9" w:rsidP="003470A9">
      <w:pPr>
        <w:pStyle w:val="Heading1"/>
      </w:pPr>
      <w:bookmarkStart w:id="2" w:name="O_1207231"/>
      <w:bookmarkEnd w:id="2"/>
      <w:r w:rsidRPr="003470A9">
        <w:t>Performance Evidence</w:t>
      </w:r>
    </w:p>
    <w:p w:rsidR="00000000" w:rsidRPr="003470A9" w:rsidP="00865CE8">
      <w:pPr>
        <w:pStyle w:val="BodyText"/>
      </w:pPr>
      <w:r w:rsidRPr="003470A9">
        <w:t xml:space="preserve">An individual demonstrating competency must satisfy all of the elements and performance criteria in this unit. </w:t>
      </w:r>
    </w:p>
    <w:p w:rsidR="00000000" w:rsidRPr="003470A9" w:rsidP="00865CE8">
      <w:pPr>
        <w:pStyle w:val="BodyText"/>
      </w:pPr>
      <w:r w:rsidRPr="003470A9">
        <w:t>There must be ev</w:t>
      </w:r>
      <w:r w:rsidRPr="003470A9">
        <w:t>idence that the individual has applied cultural heritage protection requirements while performing personal work tasks related to a forestry operation in a forest or plantation setting.</w:t>
      </w:r>
    </w:p>
    <w:p w:rsidR="00000000" w:rsidRPr="003470A9" w:rsidP="00865CE8">
      <w:pPr>
        <w:pStyle w:val="BodyText"/>
      </w:pPr>
      <w:r w:rsidRPr="003470A9">
        <w:t>In performing this activity, the individual has:</w:t>
      </w:r>
    </w:p>
    <w:p w:rsidR="00000000" w:rsidRPr="003470A9" w:rsidP="003470A9">
      <w:pPr>
        <w:pStyle w:val="ListBullet"/>
      </w:pPr>
      <w:r w:rsidRPr="003470A9">
        <w:t>identified requiremen</w:t>
      </w:r>
      <w:r w:rsidRPr="003470A9">
        <w:t>ts for cultural heritage protection and partnership arrangements for protection of cultural heritage</w:t>
      </w:r>
    </w:p>
    <w:p w:rsidR="00000000" w:rsidRPr="003470A9" w:rsidP="003470A9">
      <w:pPr>
        <w:pStyle w:val="ListBullet"/>
      </w:pPr>
      <w:r w:rsidRPr="003470A9">
        <w:t>located cultural heritage values as shown in the forest operational plan and maps</w:t>
      </w:r>
    </w:p>
    <w:p w:rsidR="00000000" w:rsidRPr="003470A9" w:rsidP="003470A9">
      <w:pPr>
        <w:pStyle w:val="ListBullet"/>
      </w:pPr>
      <w:r w:rsidRPr="003470A9">
        <w:t>reported cultural heritage site risks as a result of forestry operations to appropriate personnel</w:t>
      </w:r>
    </w:p>
    <w:p w:rsidR="00000000" w:rsidRPr="003470A9" w:rsidP="003470A9">
      <w:pPr>
        <w:pStyle w:val="ListBullet"/>
      </w:pPr>
      <w:r w:rsidRPr="003470A9">
        <w:t>established cultural heritage protection zones according to workplace procedures</w:t>
      </w:r>
    </w:p>
    <w:p w:rsidR="00000000" w:rsidRPr="003470A9" w:rsidP="003470A9">
      <w:pPr>
        <w:pStyle w:val="ListBullet"/>
      </w:pPr>
      <w:r w:rsidRPr="003470A9">
        <w:t xml:space="preserve">sought specialist advice for applying compliant cultural heritage protection </w:t>
      </w:r>
      <w:r w:rsidRPr="003470A9">
        <w:t>measures.</w:t>
      </w:r>
    </w:p>
    <w:p w:rsidR="00000000" w:rsidRPr="003470A9" w:rsidP="003470A9">
      <w:pPr>
        <w:pStyle w:val="AllowPageBreak"/>
      </w:pPr>
    </w:p>
    <w:p w:rsidR="00000000" w:rsidRPr="003470A9" w:rsidP="003470A9">
      <w:pPr>
        <w:pStyle w:val="Heading1"/>
      </w:pPr>
      <w:bookmarkStart w:id="3" w:name="O_1207232"/>
      <w:bookmarkEnd w:id="3"/>
      <w:r w:rsidRPr="003470A9">
        <w:t>Knowledge Evidence</w:t>
      </w:r>
    </w:p>
    <w:p w:rsidR="00000000" w:rsidRPr="003470A9" w:rsidP="00865CE8">
      <w:pPr>
        <w:pStyle w:val="BodyText"/>
      </w:pPr>
      <w:r w:rsidRPr="003470A9">
        <w:t>An individual must be able to demonstrate the knowledge required to perform the tasks outlined in the elements and performance criteria of this unit. This includes knowledge of:</w:t>
      </w:r>
    </w:p>
    <w:p w:rsidR="00000000" w:rsidRPr="003470A9" w:rsidP="003470A9">
      <w:pPr>
        <w:pStyle w:val="ListBullet"/>
      </w:pPr>
      <w:r w:rsidRPr="003470A9">
        <w:t>legislation, regulations, sta</w:t>
      </w:r>
      <w:r w:rsidRPr="003470A9">
        <w:t>ndards, codes of practice, contractual arrangements and partnership agreements for implementing and monitoring cultural heritage protection measures related to forest operations</w:t>
      </w:r>
    </w:p>
    <w:p w:rsidR="00000000" w:rsidRPr="003470A9" w:rsidP="003470A9">
      <w:pPr>
        <w:pStyle w:val="ListBullet"/>
      </w:pPr>
      <w:r w:rsidRPr="003470A9">
        <w:t>workplace standards, requirements, policies and procedures on cultural heritag</w:t>
      </w:r>
      <w:r w:rsidRPr="003470A9">
        <w:t>e protection that apply to forest operations</w:t>
      </w:r>
    </w:p>
    <w:p w:rsidR="00000000" w:rsidRPr="003470A9" w:rsidP="003470A9">
      <w:pPr>
        <w:pStyle w:val="ListBullet"/>
      </w:pPr>
      <w:r w:rsidRPr="003470A9">
        <w:t>definition and components of cultural heritage in forest operations:</w:t>
      </w:r>
    </w:p>
    <w:p w:rsidR="00000000" w:rsidRPr="003470A9" w:rsidP="003470A9">
      <w:pPr>
        <w:pStyle w:val="ListBullet2"/>
      </w:pPr>
      <w:r w:rsidRPr="003470A9">
        <w:t>tangible culture such as buildings, monuments, landscapes, books, works of art and artefacts</w:t>
      </w:r>
    </w:p>
    <w:p w:rsidR="00000000" w:rsidRPr="003470A9" w:rsidP="003470A9">
      <w:pPr>
        <w:pStyle w:val="ListBullet2"/>
      </w:pPr>
      <w:r w:rsidRPr="003470A9">
        <w:t>intangible culture such as folklore, traditions,</w:t>
      </w:r>
      <w:r w:rsidRPr="003470A9">
        <w:t xml:space="preserve"> language and knowledge </w:t>
      </w:r>
    </w:p>
    <w:p w:rsidR="00000000" w:rsidRPr="003470A9" w:rsidP="003470A9">
      <w:pPr>
        <w:pStyle w:val="ListBullet2"/>
      </w:pPr>
      <w:r w:rsidRPr="003470A9">
        <w:t>natural heritage, including culturally significant landscapes and biodiversity</w:t>
      </w:r>
    </w:p>
    <w:p w:rsidR="00000000" w:rsidRPr="003470A9" w:rsidP="003470A9">
      <w:pPr>
        <w:pStyle w:val="ListBullet"/>
      </w:pPr>
      <w:r w:rsidRPr="003470A9">
        <w:t>distinction between cultural heritage and Indigenous cultural heritage</w:t>
      </w:r>
    </w:p>
    <w:p w:rsidR="00000000" w:rsidRPr="003470A9" w:rsidP="003470A9">
      <w:pPr>
        <w:pStyle w:val="ListBullet"/>
      </w:pPr>
      <w:r w:rsidRPr="003470A9">
        <w:t>the importance of Indigenous cultural heritage, including:</w:t>
      </w:r>
    </w:p>
    <w:p w:rsidR="00000000" w:rsidRPr="003470A9" w:rsidP="003470A9">
      <w:pPr>
        <w:pStyle w:val="ListBullet2"/>
      </w:pPr>
      <w:r w:rsidRPr="003470A9">
        <w:t>any plac</w:t>
      </w:r>
      <w:r w:rsidRPr="003470A9">
        <w:t>e or object of significance to Indigenous people because of their traditions, observances, lore, customs, beliefs and history, including:</w:t>
      </w:r>
    </w:p>
    <w:p w:rsidR="00000000" w:rsidRPr="003470A9" w:rsidP="003470A9">
      <w:pPr>
        <w:pStyle w:val="ListBullet2"/>
      </w:pPr>
      <w:r w:rsidRPr="003470A9">
        <w:t>sacred sites</w:t>
      </w:r>
    </w:p>
    <w:p w:rsidR="00000000" w:rsidRPr="003470A9" w:rsidP="003470A9">
      <w:pPr>
        <w:pStyle w:val="ListBullet2"/>
      </w:pPr>
      <w:r w:rsidRPr="003470A9">
        <w:t>ceremonial sites</w:t>
      </w:r>
    </w:p>
    <w:p w:rsidR="00000000" w:rsidRPr="003470A9" w:rsidP="003470A9">
      <w:pPr>
        <w:pStyle w:val="ListBullet2"/>
      </w:pPr>
      <w:r w:rsidRPr="003470A9">
        <w:t>burial sites</w:t>
      </w:r>
    </w:p>
    <w:p w:rsidR="00000000" w:rsidRPr="003470A9" w:rsidP="003470A9">
      <w:pPr>
        <w:pStyle w:val="ListBullet2"/>
      </w:pPr>
      <w:r w:rsidRPr="003470A9">
        <w:t>rock art and engravings</w:t>
      </w:r>
    </w:p>
    <w:p w:rsidR="00000000" w:rsidRPr="003470A9" w:rsidP="003470A9">
      <w:pPr>
        <w:pStyle w:val="ListBullet2"/>
      </w:pPr>
      <w:r w:rsidRPr="003470A9">
        <w:t>ochre pits</w:t>
      </w:r>
    </w:p>
    <w:p w:rsidR="00000000" w:rsidRPr="003470A9" w:rsidP="003470A9">
      <w:pPr>
        <w:pStyle w:val="ListBullet2"/>
      </w:pPr>
      <w:r w:rsidRPr="003470A9">
        <w:t>scatter sites</w:t>
      </w:r>
    </w:p>
    <w:p w:rsidR="00000000" w:rsidRPr="003470A9" w:rsidP="003470A9">
      <w:pPr>
        <w:pStyle w:val="ListBullet2"/>
      </w:pPr>
      <w:r w:rsidRPr="003470A9">
        <w:t>scarred or carved trees</w:t>
      </w:r>
    </w:p>
    <w:p w:rsidR="00000000" w:rsidRPr="003470A9" w:rsidP="003470A9">
      <w:pPr>
        <w:pStyle w:val="ListBullet2"/>
      </w:pPr>
      <w:r w:rsidRPr="003470A9">
        <w:t>st</w:t>
      </w:r>
      <w:r w:rsidRPr="003470A9">
        <w:t>one arrangements or bora rings</w:t>
      </w:r>
    </w:p>
    <w:p w:rsidR="00000000" w:rsidRPr="003470A9" w:rsidP="003470A9">
      <w:pPr>
        <w:pStyle w:val="ListBullet2"/>
      </w:pPr>
      <w:r w:rsidRPr="003470A9">
        <w:t>stone tool manufacture and grinding sites</w:t>
      </w:r>
    </w:p>
    <w:p w:rsidR="00000000" w:rsidRPr="003470A9" w:rsidP="003470A9">
      <w:pPr>
        <w:pStyle w:val="ListBullet2"/>
      </w:pPr>
      <w:r w:rsidRPr="003470A9">
        <w:t>artefacts</w:t>
      </w:r>
    </w:p>
    <w:p w:rsidR="00000000" w:rsidRPr="003470A9" w:rsidP="003470A9">
      <w:pPr>
        <w:pStyle w:val="ListBullet2"/>
      </w:pPr>
      <w:r w:rsidRPr="003470A9">
        <w:t>massacre sites</w:t>
      </w:r>
    </w:p>
    <w:p w:rsidR="00000000" w:rsidRPr="003470A9" w:rsidP="003470A9">
      <w:pPr>
        <w:pStyle w:val="ListBullet"/>
      </w:pPr>
      <w:r w:rsidRPr="003470A9">
        <w:t>key stakeholders engaged in protection of cultural heritage, including:</w:t>
      </w:r>
    </w:p>
    <w:p w:rsidR="00000000" w:rsidRPr="003470A9" w:rsidP="003470A9">
      <w:pPr>
        <w:pStyle w:val="ListBullet2"/>
      </w:pPr>
      <w:r w:rsidRPr="003470A9">
        <w:t>Indigenous organisations</w:t>
      </w:r>
    </w:p>
    <w:p w:rsidR="00000000" w:rsidRPr="003470A9" w:rsidP="003470A9">
      <w:pPr>
        <w:pStyle w:val="ListBullet2"/>
      </w:pPr>
      <w:r w:rsidRPr="003470A9">
        <w:t>government departments and agencies</w:t>
      </w:r>
    </w:p>
    <w:p w:rsidR="00000000" w:rsidRPr="003470A9" w:rsidP="003470A9">
      <w:pPr>
        <w:pStyle w:val="ListBullet2"/>
      </w:pPr>
      <w:r w:rsidRPr="003470A9">
        <w:t>land owners</w:t>
      </w:r>
    </w:p>
    <w:p w:rsidR="00000000" w:rsidRPr="003470A9" w:rsidP="003470A9">
      <w:pPr>
        <w:pStyle w:val="ListBullet2"/>
      </w:pPr>
      <w:r w:rsidRPr="003470A9">
        <w:t>forestry companies</w:t>
      </w:r>
    </w:p>
    <w:p w:rsidR="00000000" w:rsidRPr="003470A9" w:rsidP="003470A9">
      <w:pPr>
        <w:pStyle w:val="ListBullet2"/>
      </w:pPr>
      <w:r w:rsidRPr="003470A9">
        <w:t>other community organisations</w:t>
      </w:r>
    </w:p>
    <w:p w:rsidR="00000000" w:rsidRPr="003470A9" w:rsidP="003470A9">
      <w:pPr>
        <w:pStyle w:val="ListBullet"/>
      </w:pPr>
      <w:r w:rsidRPr="003470A9">
        <w:t>work practices and procedures for protecting cultural heritage sites and objects, including protection zone requirements, in forest operations</w:t>
      </w:r>
    </w:p>
    <w:p w:rsidR="00000000" w:rsidRPr="003470A9" w:rsidP="003470A9">
      <w:pPr>
        <w:pStyle w:val="ListBullet"/>
      </w:pPr>
      <w:r w:rsidRPr="003470A9">
        <w:t>work practices and activities that comply and do not comply wit</w:t>
      </w:r>
      <w:r w:rsidRPr="003470A9">
        <w:t>h cultural heritage protection requirements in forest operations</w:t>
      </w:r>
    </w:p>
    <w:p w:rsidR="00000000" w:rsidRPr="003470A9" w:rsidP="003470A9">
      <w:pPr>
        <w:pStyle w:val="ListBullet"/>
      </w:pPr>
      <w:r w:rsidRPr="003470A9">
        <w:t>consequences of non-compliance with cultural heritage protection requirements in forest operations</w:t>
      </w:r>
    </w:p>
    <w:p w:rsidR="00000000" w:rsidRPr="003470A9" w:rsidP="003470A9">
      <w:pPr>
        <w:pStyle w:val="ListBullet"/>
      </w:pPr>
      <w:r w:rsidRPr="003470A9">
        <w:t>procedures for reporting non-compliance with cultural heritage protection requirements.</w:t>
      </w:r>
    </w:p>
    <w:p w:rsidR="00000000" w:rsidRPr="003470A9" w:rsidP="003470A9">
      <w:pPr>
        <w:pStyle w:val="AllowPageBreak"/>
      </w:pPr>
    </w:p>
    <w:p w:rsidR="00000000" w:rsidRPr="003470A9" w:rsidP="003470A9">
      <w:pPr>
        <w:pStyle w:val="Heading1"/>
      </w:pPr>
      <w:bookmarkStart w:id="4" w:name="O_1207233"/>
      <w:bookmarkEnd w:id="4"/>
      <w:r w:rsidRPr="003470A9">
        <w:t>Assessment Conditions</w:t>
      </w:r>
    </w:p>
    <w:p w:rsidR="00000000" w:rsidRPr="003470A9" w:rsidP="00865CE8">
      <w:pPr>
        <w:pStyle w:val="BodyText"/>
      </w:pPr>
      <w:r w:rsidRPr="003470A9">
        <w:t xml:space="preserve">Assessment of the skills in this unit of competency must take place under the following conditions: </w:t>
      </w:r>
    </w:p>
    <w:p w:rsidR="00000000" w:rsidRPr="003470A9" w:rsidP="003470A9">
      <w:pPr>
        <w:pStyle w:val="ListBullet"/>
      </w:pPr>
      <w:r w:rsidRPr="003470A9">
        <w:t>physical conditions:</w:t>
      </w:r>
    </w:p>
    <w:p w:rsidR="00000000" w:rsidRPr="003470A9" w:rsidP="003470A9">
      <w:pPr>
        <w:pStyle w:val="ListBullet2"/>
      </w:pPr>
      <w:r w:rsidRPr="003470A9">
        <w:t>skills must be demonstrated in a forest work environment or an environment that accurately repr</w:t>
      </w:r>
      <w:r w:rsidRPr="003470A9">
        <w:t>esents workplace conditions</w:t>
      </w:r>
    </w:p>
    <w:p w:rsidR="00000000" w:rsidRPr="003470A9" w:rsidP="003470A9">
      <w:pPr>
        <w:pStyle w:val="ListBullet"/>
      </w:pPr>
      <w:r w:rsidRPr="003470A9">
        <w:t>resources, equipment and materials:</w:t>
      </w:r>
    </w:p>
    <w:p w:rsidR="00000000" w:rsidRPr="003470A9" w:rsidP="003470A9">
      <w:pPr>
        <w:pStyle w:val="ListBullet2"/>
      </w:pPr>
      <w:r w:rsidRPr="003470A9">
        <w:t>tools, machinery, equipment and materials required to undertake job requirements specified in work order or instruction</w:t>
      </w:r>
    </w:p>
    <w:p w:rsidR="00000000" w:rsidRPr="003470A9" w:rsidP="003470A9">
      <w:pPr>
        <w:pStyle w:val="ListBullet2"/>
      </w:pPr>
      <w:r w:rsidRPr="003470A9">
        <w:t>forest operational plan and maps identifying location of cultural heritage, including Indigenous cultural heritage, sites and/or objects in and near the work site</w:t>
      </w:r>
    </w:p>
    <w:p w:rsidR="00000000" w:rsidRPr="003470A9" w:rsidP="003470A9">
      <w:pPr>
        <w:pStyle w:val="ListBullet2"/>
      </w:pPr>
      <w:r w:rsidRPr="003470A9">
        <w:t>signage, field markings and equipment for cultural heritage protection</w:t>
      </w:r>
    </w:p>
    <w:p w:rsidR="00000000" w:rsidRPr="003470A9" w:rsidP="003470A9">
      <w:pPr>
        <w:pStyle w:val="ListBullet2"/>
      </w:pPr>
      <w:r w:rsidRPr="003470A9">
        <w:t>personal protective eq</w:t>
      </w:r>
      <w:r w:rsidRPr="003470A9">
        <w:t>uipment</w:t>
      </w:r>
    </w:p>
    <w:p w:rsidR="00000000" w:rsidRPr="003470A9" w:rsidP="003470A9">
      <w:pPr>
        <w:pStyle w:val="ListBullet"/>
      </w:pPr>
      <w:r w:rsidRPr="003470A9">
        <w:t>specifications:</w:t>
      </w:r>
    </w:p>
    <w:p w:rsidR="00000000" w:rsidRPr="003470A9" w:rsidP="003470A9">
      <w:pPr>
        <w:pStyle w:val="ListBullet2"/>
      </w:pPr>
      <w:r w:rsidRPr="003470A9">
        <w:t>work instruction identifying job requirements and requirements to comply with cultural heritage protection requirements</w:t>
      </w:r>
    </w:p>
    <w:p w:rsidR="00000000" w:rsidRPr="003470A9" w:rsidP="003470A9">
      <w:pPr>
        <w:pStyle w:val="ListBullet2"/>
      </w:pPr>
      <w:r w:rsidRPr="003470A9">
        <w:t>workplace health, safety and environment policies and procedures applicable to work task to be carried out</w:t>
      </w:r>
    </w:p>
    <w:p w:rsidR="00000000" w:rsidRPr="003470A9" w:rsidP="003470A9">
      <w:pPr>
        <w:pStyle w:val="ListBullet2"/>
      </w:pPr>
      <w:r w:rsidRPr="003470A9">
        <w:t>wor</w:t>
      </w:r>
      <w:r w:rsidRPr="003470A9">
        <w:t>kplace procedures for cultural heritage protection.</w:t>
      </w:r>
    </w:p>
    <w:p w:rsidR="00000000" w:rsidRPr="003470A9" w:rsidP="00865CE8">
      <w:pPr>
        <w:pStyle w:val="BodyText"/>
      </w:pPr>
      <w:r w:rsidRPr="003470A9">
        <w:t>Assessors of this unit must satisfy the requirements for assessors in applicable vocational education and training legislation, frameworks and/or standards.</w:t>
      </w:r>
    </w:p>
    <w:p w:rsidR="00000000" w:rsidRPr="003470A9" w:rsidP="003470A9">
      <w:pPr>
        <w:pStyle w:val="Heading1"/>
      </w:pPr>
      <w:bookmarkStart w:id="5" w:name="O_1207236"/>
      <w:bookmarkEnd w:id="5"/>
      <w:r w:rsidRPr="003470A9">
        <w:t>Links</w:t>
      </w:r>
    </w:p>
    <w:p w:rsidR="00000000" w:rsidRPr="003470A9" w:rsidP="00865CE8">
      <w:pPr>
        <w:pStyle w:val="BodyText"/>
      </w:pPr>
      <w:r w:rsidRPr="003470A9">
        <w:t>Companion Volumes, inc</w:t>
      </w:r>
      <w:r w:rsidRPr="003470A9">
        <w:t xml:space="preserve">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2C5EF4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470A9" w:rsidP="003470A9"/>
    <w:sectPr w:rsidSect="003470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A9" w:rsidRPr="00865CE8" w:rsidP="00865C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E8" w:rsidP="003470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CE8" w:rsidP="003470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CE8" w:rsidP="003470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0A9" w:rsidRPr="00865CE8" w:rsidP="00865C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0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CE8" w:rsidRPr="002D2AF8" w:rsidP="003470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FWPCOT3324 Apply cultural heritage protection requirements in forest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865CE8" w:rsidP="003470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34D0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452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0451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0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0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0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0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0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0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0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0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0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0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0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0A9"/>
  </w:style>
  <w:style w:type="character" w:customStyle="1" w:styleId="Heading1Char">
    <w:name w:val="Heading 1 Char"/>
    <w:basedOn w:val="DefaultParagraphFont"/>
    <w:link w:val="Heading1"/>
    <w:rsid w:val="003470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0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0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0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70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70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0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470A9"/>
    <w:rPr>
      <w:b/>
    </w:rPr>
  </w:style>
  <w:style w:type="character" w:customStyle="1" w:styleId="Heading2Char">
    <w:name w:val="Heading 2 Char"/>
    <w:basedOn w:val="DefaultParagraphFont"/>
    <w:link w:val="Heading2"/>
    <w:rsid w:val="003470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0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0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0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0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0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0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0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0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0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0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0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0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0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0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0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0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0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70A9"/>
    <w:rPr>
      <w:b/>
      <w:spacing w:val="0"/>
    </w:rPr>
  </w:style>
  <w:style w:type="paragraph" w:customStyle="1" w:styleId="SuperTitle">
    <w:name w:val="SuperTitle"/>
    <w:basedOn w:val="Title"/>
    <w:rsid w:val="003470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0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0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70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0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0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0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0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0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0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0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0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0A9"/>
    <w:rPr>
      <w:i/>
    </w:rPr>
  </w:style>
  <w:style w:type="paragraph" w:styleId="Caption">
    <w:name w:val="caption"/>
    <w:basedOn w:val="BodyText"/>
    <w:next w:val="Normal"/>
    <w:qFormat/>
    <w:rsid w:val="003470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0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0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0A9"/>
  </w:style>
  <w:style w:type="paragraph" w:styleId="TableofFigures">
    <w:name w:val="table of figures"/>
    <w:basedOn w:val="Normal"/>
    <w:next w:val="Normal"/>
    <w:semiHidden/>
    <w:rsid w:val="003470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0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70A9"/>
    <w:rPr>
      <w:rFonts w:ascii="Wingdings" w:hAnsi="Wingdings"/>
    </w:rPr>
  </w:style>
  <w:style w:type="paragraph" w:customStyle="1" w:styleId="TableHeading">
    <w:name w:val="Table Heading"/>
    <w:basedOn w:val="HeadingBase"/>
    <w:rsid w:val="003470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0A9"/>
    <w:rPr>
      <w:color w:val="0033CC"/>
      <w:u w:val="none"/>
    </w:rPr>
  </w:style>
  <w:style w:type="paragraph" w:customStyle="1" w:styleId="BodyTextRight">
    <w:name w:val="Body Text Right"/>
    <w:basedOn w:val="BodyText"/>
    <w:rsid w:val="003470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0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0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0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0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0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0A9"/>
    <w:rPr>
      <w:sz w:val="32"/>
    </w:rPr>
  </w:style>
  <w:style w:type="paragraph" w:customStyle="1" w:styleId="HeadingProcedure">
    <w:name w:val="Heading Procedure"/>
    <w:basedOn w:val="HeadingBase"/>
    <w:next w:val="Normal"/>
    <w:rsid w:val="003470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0A9"/>
    <w:pPr>
      <w:spacing w:before="60" w:after="60"/>
    </w:pPr>
  </w:style>
  <w:style w:type="paragraph" w:styleId="ListContinue">
    <w:name w:val="List Continue"/>
    <w:basedOn w:val="List"/>
    <w:rsid w:val="003470A9"/>
    <w:pPr>
      <w:ind w:firstLine="0"/>
    </w:pPr>
  </w:style>
  <w:style w:type="paragraph" w:customStyle="1" w:styleId="ListNote">
    <w:name w:val="List Note"/>
    <w:basedOn w:val="List"/>
    <w:rsid w:val="003470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0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0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0A9"/>
    <w:rPr>
      <w:rFonts w:ascii="Courier New" w:hAnsi="Courier New"/>
    </w:rPr>
  </w:style>
  <w:style w:type="paragraph" w:customStyle="1" w:styleId="NoteBullet">
    <w:name w:val="Note Bullet"/>
    <w:basedOn w:val="Note"/>
    <w:rsid w:val="003470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0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0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0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0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70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0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0A9"/>
    <w:rPr>
      <w:b/>
      <w:smallCaps/>
    </w:rPr>
  </w:style>
  <w:style w:type="paragraph" w:customStyle="1" w:styleId="TableListNumber">
    <w:name w:val="Table List Number"/>
    <w:basedOn w:val="ListNumber"/>
    <w:rsid w:val="003470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0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0A9"/>
    <w:pPr>
      <w:numPr>
        <w:numId w:val="9"/>
      </w:numPr>
    </w:pPr>
  </w:style>
  <w:style w:type="paragraph" w:customStyle="1" w:styleId="ListAlpha2">
    <w:name w:val="List Alpha 2"/>
    <w:basedOn w:val="List2"/>
    <w:rsid w:val="003470A9"/>
    <w:pPr>
      <w:numPr>
        <w:numId w:val="8"/>
      </w:numPr>
    </w:pPr>
  </w:style>
  <w:style w:type="paragraph" w:styleId="List2">
    <w:name w:val="List 2"/>
    <w:basedOn w:val="BodyText"/>
    <w:rsid w:val="003470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0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0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0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0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0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70A9"/>
    <w:pPr>
      <w:numPr>
        <w:numId w:val="4"/>
      </w:numPr>
    </w:pPr>
  </w:style>
  <w:style w:type="paragraph" w:styleId="ListContinue2">
    <w:name w:val="List Continue 2"/>
    <w:basedOn w:val="List2"/>
    <w:rsid w:val="003470A9"/>
    <w:pPr>
      <w:ind w:firstLine="0"/>
    </w:pPr>
  </w:style>
  <w:style w:type="paragraph" w:styleId="ListContinue3">
    <w:name w:val="List Continue 3"/>
    <w:basedOn w:val="List3"/>
    <w:rsid w:val="003470A9"/>
    <w:pPr>
      <w:ind w:left="1021" w:firstLine="0"/>
    </w:pPr>
  </w:style>
  <w:style w:type="paragraph" w:styleId="ListContinue4">
    <w:name w:val="List Continue 4"/>
    <w:basedOn w:val="List4"/>
    <w:rsid w:val="003470A9"/>
    <w:pPr>
      <w:ind w:firstLine="0"/>
    </w:pPr>
  </w:style>
  <w:style w:type="paragraph" w:styleId="ListContinue5">
    <w:name w:val="List Continue 5"/>
    <w:basedOn w:val="List5"/>
    <w:rsid w:val="003470A9"/>
    <w:pPr>
      <w:ind w:firstLine="0"/>
    </w:pPr>
  </w:style>
  <w:style w:type="paragraph" w:styleId="ListNumber3">
    <w:name w:val="List Number 3"/>
    <w:basedOn w:val="List3"/>
    <w:rsid w:val="003470A9"/>
    <w:pPr>
      <w:numPr>
        <w:numId w:val="5"/>
      </w:numPr>
    </w:pPr>
  </w:style>
  <w:style w:type="paragraph" w:styleId="ListNumber4">
    <w:name w:val="List Number 4"/>
    <w:basedOn w:val="List4"/>
    <w:rsid w:val="003470A9"/>
    <w:pPr>
      <w:numPr>
        <w:numId w:val="6"/>
      </w:numPr>
    </w:pPr>
  </w:style>
  <w:style w:type="paragraph" w:styleId="ListNumber5">
    <w:name w:val="List Number 5"/>
    <w:basedOn w:val="List5"/>
    <w:rsid w:val="003470A9"/>
    <w:pPr>
      <w:numPr>
        <w:numId w:val="7"/>
      </w:numPr>
    </w:pPr>
  </w:style>
  <w:style w:type="paragraph" w:styleId="BlockText">
    <w:name w:val="Block Text"/>
    <w:basedOn w:val="Normal"/>
    <w:rsid w:val="003470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0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0A9"/>
    <w:rPr>
      <w:sz w:val="16"/>
      <w:vertAlign w:val="superscript"/>
    </w:rPr>
  </w:style>
  <w:style w:type="character" w:customStyle="1" w:styleId="Symbols">
    <w:name w:val="Symbols"/>
    <w:basedOn w:val="DefaultParagraphFont"/>
    <w:rsid w:val="003470A9"/>
    <w:rPr>
      <w:rFonts w:ascii="Symbol" w:hAnsi="Symbol"/>
    </w:rPr>
  </w:style>
  <w:style w:type="character" w:customStyle="1" w:styleId="MenuOptions">
    <w:name w:val="Menu Options"/>
    <w:basedOn w:val="DefaultParagraphFont"/>
    <w:rsid w:val="003470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0A9"/>
    <w:rPr>
      <w:b/>
    </w:rPr>
  </w:style>
  <w:style w:type="character" w:customStyle="1" w:styleId="Underlined">
    <w:name w:val="Underlined"/>
    <w:basedOn w:val="DefaultParagraphFont"/>
    <w:rsid w:val="003470A9"/>
    <w:rPr>
      <w:u w:val="single"/>
    </w:rPr>
  </w:style>
  <w:style w:type="paragraph" w:customStyle="1" w:styleId="TableBodyTextRight">
    <w:name w:val="Table Body Text Right"/>
    <w:basedOn w:val="TableBodyText"/>
    <w:rsid w:val="003470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0A9"/>
    <w:rPr>
      <w:sz w:val="18"/>
    </w:rPr>
  </w:style>
  <w:style w:type="paragraph" w:customStyle="1" w:styleId="BodySmallRight">
    <w:name w:val="Body Small Right"/>
    <w:basedOn w:val="BodyTextRight"/>
    <w:rsid w:val="003470A9"/>
    <w:rPr>
      <w:sz w:val="18"/>
      <w:szCs w:val="18"/>
    </w:rPr>
  </w:style>
  <w:style w:type="paragraph" w:customStyle="1" w:styleId="MarginEdition">
    <w:name w:val="Margin Edition"/>
    <w:basedOn w:val="MarginNote"/>
    <w:rsid w:val="003470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0A9"/>
    <w:rPr>
      <w:sz w:val="2"/>
      <w:szCs w:val="2"/>
    </w:rPr>
  </w:style>
  <w:style w:type="character" w:customStyle="1" w:styleId="Small">
    <w:name w:val="Small"/>
    <w:basedOn w:val="DefaultParagraphFont"/>
    <w:rsid w:val="003470A9"/>
    <w:rPr>
      <w:sz w:val="16"/>
    </w:rPr>
  </w:style>
  <w:style w:type="paragraph" w:customStyle="1" w:styleId="WideTable">
    <w:name w:val="Wide Table"/>
    <w:basedOn w:val="Normal"/>
    <w:rsid w:val="003470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0A9"/>
  </w:style>
  <w:style w:type="paragraph" w:styleId="Quote">
    <w:name w:val="Quote"/>
    <w:basedOn w:val="Heading1"/>
    <w:link w:val="QuoteChar"/>
    <w:qFormat/>
    <w:rsid w:val="003470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0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0A9"/>
    <w:pPr>
      <w:pageBreakBefore/>
    </w:pPr>
  </w:style>
  <w:style w:type="paragraph" w:customStyle="1" w:styleId="Border">
    <w:name w:val="Border"/>
    <w:basedOn w:val="Normal"/>
    <w:qFormat/>
    <w:rsid w:val="003470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0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0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0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0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0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0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0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0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0A9"/>
    <w:rPr>
      <w:u w:val="single"/>
    </w:rPr>
  </w:style>
  <w:style w:type="character" w:customStyle="1" w:styleId="BoldandItalics">
    <w:name w:val="Bold and Italics"/>
    <w:qFormat/>
    <w:rsid w:val="003470A9"/>
    <w:rPr>
      <w:b/>
      <w:i/>
      <w:u w:val="none"/>
    </w:rPr>
  </w:style>
  <w:style w:type="paragraph" w:styleId="BalloonText">
    <w:name w:val="Balloon Text"/>
    <w:basedOn w:val="Normal"/>
    <w:link w:val="BalloonTextChar"/>
    <w:rsid w:val="003470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0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0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0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0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0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0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C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588</Words>
  <Characters>4100</Characters>
  <Application>Microsoft Office Word</Application>
  <DocSecurity>0</DocSecurity>
  <Lines>100</Lines>
  <Paragraphs>75</Paragraphs>
  <ScaleCrop>false</ScaleCrop>
  <Company>Author-it Software Corporation Ltd.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FWPCOT3324 Apply cultural heritage protection requirements in forest operations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2024-09-27T00:15:00Z</dcterms:created>
  <dcterms:modified xsi:type="dcterms:W3CDTF">2024-09-27T00:15:00Z</dcterms:modified>
</cp:coreProperties>
</file>