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5878" w:rsidP="00975878">
      <w:pPr>
        <w:pStyle w:val="Title"/>
      </w:pPr>
      <w:r>
        <w:fldChar w:fldCharType="begin"/>
      </w:r>
      <w:r>
        <w:instrText xml:space="preserve"> TITLE   \* MERGEFORMAT </w:instrText>
      </w:r>
      <w:r>
        <w:fldChar w:fldCharType="separate"/>
      </w:r>
      <w:r>
        <w:t>Assessment Requirements for FWPCOT3314 Comply with soil and water protection</w:t>
      </w:r>
      <w:r>
        <w:fldChar w:fldCharType="end"/>
      </w:r>
    </w:p>
    <w:p w:rsidR="00975878" w:rsidP="00975878">
      <w:pPr>
        <w:pStyle w:val="Version"/>
        <w:sectPr w:rsidSect="00B71DD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71DDF" w:rsidP="00B71DDF">
      <w:pPr>
        <w:pStyle w:val="SuperHeading"/>
      </w:pPr>
      <w:r w:rsidRPr="00B71DDF">
        <w:t>Assessment Requirements for FWPCOT3314 Comply with soil and water protection</w:t>
      </w:r>
    </w:p>
    <w:p w:rsidR="00000000" w:rsidRPr="00B71DDF" w:rsidP="00B71DDF">
      <w:pPr>
        <w:pStyle w:val="Heading1"/>
      </w:pPr>
      <w:bookmarkStart w:id="1" w:name="O_1101801"/>
      <w:bookmarkEnd w:id="1"/>
      <w:r w:rsidRPr="00B71DDF">
        <w:t>Modification History</w:t>
      </w:r>
    </w:p>
    <w:tbl>
      <w:tblPr>
        <w:tblW w:w="9520" w:type="dxa"/>
        <w:tblLayout w:type="fixed"/>
        <w:tblCellMar>
          <w:left w:w="62" w:type="dxa"/>
          <w:right w:w="62" w:type="dxa"/>
        </w:tblCellMar>
        <w:tblLook w:val="0000"/>
      </w:tblPr>
      <w:tblGrid>
        <w:gridCol w:w="2580"/>
        <w:gridCol w:w="6940"/>
      </w:tblGrid>
      <w:tr w:rsidTr="00B71DD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DDF">
            <w:pPr>
              <w:pStyle w:val="BodyTextBold"/>
              <w:rPr>
                <w:lang w:val="en-NZ"/>
              </w:rPr>
            </w:pPr>
            <w:r w:rsidRPr="00B71DDF">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DDF">
            <w:pPr>
              <w:pStyle w:val="BodyTextBold"/>
              <w:rPr>
                <w:lang w:val="en-NZ"/>
              </w:rPr>
            </w:pPr>
            <w:r w:rsidRPr="00B71DDF">
              <w:t>Comments</w:t>
            </w:r>
          </w:p>
        </w:tc>
      </w:tr>
      <w:tr w:rsidTr="00B71DD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DDF">
            <w:pPr>
              <w:pStyle w:val="BodyText"/>
              <w:rPr>
                <w:lang w:val="en-NZ"/>
              </w:rPr>
            </w:pPr>
            <w:r w:rsidRPr="00B71DDF">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1DDF" w:rsidP="00B71DDF">
            <w:pPr>
              <w:pStyle w:val="BodyText"/>
            </w:pPr>
            <w:r w:rsidRPr="00B71DDF">
              <w:t>This version released with FWP Forest and Wood Products Training Package Version 6.0.</w:t>
            </w:r>
          </w:p>
        </w:tc>
      </w:tr>
    </w:tbl>
    <w:p w:rsidR="00000000" w:rsidRPr="00B71DDF" w:rsidP="00B71DDF">
      <w:pPr>
        <w:pStyle w:val="BodyText"/>
      </w:pPr>
    </w:p>
    <w:p w:rsidR="00000000" w:rsidRPr="00B71DDF" w:rsidP="00B71DDF">
      <w:pPr>
        <w:pStyle w:val="AllowPageBreak"/>
      </w:pPr>
    </w:p>
    <w:p w:rsidR="00000000" w:rsidRPr="00B71DDF" w:rsidP="00B71DDF">
      <w:pPr>
        <w:pStyle w:val="Heading1"/>
      </w:pPr>
      <w:bookmarkStart w:id="2" w:name="O_1101802"/>
      <w:bookmarkEnd w:id="2"/>
      <w:r w:rsidRPr="00B71DDF">
        <w:t>Performance Evidence</w:t>
      </w:r>
    </w:p>
    <w:p w:rsidR="00000000" w:rsidRPr="00B71DDF" w:rsidP="00975878">
      <w:pPr>
        <w:pStyle w:val="BodyText"/>
      </w:pPr>
      <w:r w:rsidRPr="00B71DDF">
        <w:t>An individual demonstrating competency must satisfy all of the elements and performance criteria in this unit.</w:t>
      </w:r>
    </w:p>
    <w:p w:rsidR="00000000" w:rsidRPr="00B71DDF" w:rsidP="00975878">
      <w:pPr>
        <w:pStyle w:val="BodyText"/>
      </w:pPr>
      <w:r w:rsidRPr="00B71DDF">
        <w:t>There must be evidence that the individual has:</w:t>
      </w:r>
    </w:p>
    <w:p w:rsidR="00000000" w:rsidRPr="00B71DDF" w:rsidP="00B71DDF">
      <w:pPr>
        <w:pStyle w:val="ListBullet"/>
      </w:pPr>
      <w:r w:rsidRPr="00B71DDF">
        <w:t>implemented either a soil or a water protection procedure in an operational</w:t>
      </w:r>
      <w:r w:rsidRPr="00B71DDF">
        <w:t xml:space="preserve"> work setting on one occasion</w:t>
      </w:r>
    </w:p>
    <w:p w:rsidR="00000000" w:rsidRPr="00B71DDF" w:rsidP="00B71DDF">
      <w:pPr>
        <w:pStyle w:val="ListBullet"/>
      </w:pPr>
      <w:r w:rsidRPr="00B71DDF">
        <w:t>followed workplace policies and procedures, current legislation, regulations and related industry standards and codes of practice applicable to soil and water protection operations</w:t>
      </w:r>
    </w:p>
    <w:p w:rsidR="00000000" w:rsidRPr="00B71DDF" w:rsidP="00B71DDF">
      <w:pPr>
        <w:pStyle w:val="ListBullet"/>
      </w:pPr>
      <w:r w:rsidRPr="00B71DDF">
        <w:t>monitored work pr</w:t>
      </w:r>
      <w:r w:rsidRPr="00B71DDF">
        <w:t>actices in one operational work setting for consistency with soil and water protection requirements and made at least one recommendation on ways of improving work practices to enhance soil and water protection.</w:t>
      </w:r>
    </w:p>
    <w:p w:rsidR="00000000" w:rsidRPr="00B71DDF" w:rsidP="00B71DDF">
      <w:pPr>
        <w:pStyle w:val="AllowPageBreak"/>
      </w:pPr>
    </w:p>
    <w:p w:rsidR="00000000" w:rsidRPr="00B71DDF" w:rsidP="00B71DDF">
      <w:pPr>
        <w:pStyle w:val="Heading1"/>
      </w:pPr>
      <w:bookmarkStart w:id="3" w:name="O_1101803"/>
      <w:bookmarkEnd w:id="3"/>
      <w:r w:rsidRPr="00B71DDF">
        <w:t>Knowledge Evidence</w:t>
      </w:r>
    </w:p>
    <w:p w:rsidR="00000000" w:rsidRPr="00B71DDF" w:rsidP="00975878">
      <w:pPr>
        <w:pStyle w:val="BodyText"/>
      </w:pPr>
      <w:r w:rsidRPr="00B71DDF">
        <w:t>An indi</w:t>
      </w:r>
      <w:r w:rsidRPr="00B71DDF">
        <w:t>vidual must be able to demonstrate the knowledge required to perform the tasks outlined in the elements and performance criteria of this unit. This includes knowledge of:</w:t>
      </w:r>
    </w:p>
    <w:p w:rsidR="00000000" w:rsidRPr="00B71DDF" w:rsidP="00B71DDF">
      <w:pPr>
        <w:pStyle w:val="ListBullet"/>
      </w:pPr>
      <w:r w:rsidRPr="00B71DDF">
        <w:t>regulations, standards, codes of practice and established safe practices for soil an</w:t>
      </w:r>
      <w:r w:rsidRPr="00B71DDF">
        <w:t>d water protection procedures</w:t>
      </w:r>
    </w:p>
    <w:p w:rsidR="00000000" w:rsidRPr="00B71DDF" w:rsidP="00B71DDF">
      <w:pPr>
        <w:pStyle w:val="ListBullet"/>
      </w:pPr>
      <w:r w:rsidRPr="00B71DDF">
        <w:t>applicable regulations from all levels of government that affect operations in relation to soil and water protection:</w:t>
      </w:r>
    </w:p>
    <w:p w:rsidR="00000000" w:rsidRPr="00B71DDF" w:rsidP="00B71DDF">
      <w:pPr>
        <w:pStyle w:val="ListBullet2"/>
      </w:pPr>
      <w:r w:rsidRPr="00B71DDF">
        <w:t>regional agreements</w:t>
      </w:r>
    </w:p>
    <w:p w:rsidR="00000000" w:rsidRPr="00B71DDF" w:rsidP="00B71DDF">
      <w:pPr>
        <w:pStyle w:val="ListBullet2"/>
      </w:pPr>
      <w:r w:rsidRPr="00B71DDF">
        <w:t>relevant codes of practice</w:t>
      </w:r>
    </w:p>
    <w:p w:rsidR="00000000" w:rsidRPr="00B71DDF" w:rsidP="00B71DDF">
      <w:pPr>
        <w:pStyle w:val="ListBullet2"/>
      </w:pPr>
      <w:r w:rsidRPr="00B71DDF">
        <w:t>operational plans</w:t>
      </w:r>
    </w:p>
    <w:p w:rsidR="00000000" w:rsidRPr="00B71DDF" w:rsidP="00B71DDF">
      <w:pPr>
        <w:pStyle w:val="ListBullet"/>
      </w:pPr>
      <w:r w:rsidRPr="00B71DDF">
        <w:t>workplace standards, requirements, polici</w:t>
      </w:r>
      <w:r w:rsidRPr="00B71DDF">
        <w:t>es and procedures relevant to soil and water protection</w:t>
      </w:r>
    </w:p>
    <w:p w:rsidR="00000000" w:rsidRPr="00B71DDF" w:rsidP="00B71DDF">
      <w:pPr>
        <w:pStyle w:val="ListBullet"/>
      </w:pPr>
      <w:r w:rsidRPr="00B71DDF">
        <w:t>techniques and measures relevant to erosion mitigation:</w:t>
      </w:r>
    </w:p>
    <w:p w:rsidR="00000000" w:rsidRPr="00B71DDF" w:rsidP="00B71DDF">
      <w:pPr>
        <w:pStyle w:val="ListBullet2"/>
      </w:pPr>
      <w:r w:rsidRPr="00B71DDF">
        <w:t>walk-over techniques</w:t>
      </w:r>
    </w:p>
    <w:p w:rsidR="00000000" w:rsidRPr="00B71DDF" w:rsidP="00B71DDF">
      <w:pPr>
        <w:pStyle w:val="ListBullet2"/>
      </w:pPr>
      <w:r w:rsidRPr="00B71DDF">
        <w:t>minimal disturbance techniques</w:t>
      </w:r>
    </w:p>
    <w:p w:rsidR="00000000" w:rsidRPr="00B71DDF" w:rsidP="00B71DDF">
      <w:pPr>
        <w:pStyle w:val="ListBullet2"/>
      </w:pPr>
      <w:r w:rsidRPr="00B71DDF">
        <w:t>crown and cross fall drainage</w:t>
      </w:r>
    </w:p>
    <w:p w:rsidR="00000000" w:rsidRPr="00B71DDF" w:rsidP="00B71DDF">
      <w:pPr>
        <w:pStyle w:val="ListBullet2"/>
      </w:pPr>
      <w:r w:rsidRPr="00B71DDF">
        <w:t>cross bank drainage</w:t>
      </w:r>
    </w:p>
    <w:p w:rsidR="00000000" w:rsidRPr="00B71DDF" w:rsidP="00B71DDF">
      <w:pPr>
        <w:pStyle w:val="ListBullet2"/>
      </w:pPr>
      <w:r w:rsidRPr="00B71DDF">
        <w:t>relief culverts on roads</w:t>
      </w:r>
    </w:p>
    <w:p w:rsidR="00000000" w:rsidRPr="00B71DDF" w:rsidP="00B71DDF">
      <w:pPr>
        <w:pStyle w:val="ListBullet2"/>
      </w:pPr>
      <w:r w:rsidRPr="00B71DDF">
        <w:t>mitre and table drains on roads</w:t>
      </w:r>
    </w:p>
    <w:p w:rsidR="00000000" w:rsidRPr="00B71DDF" w:rsidP="00B71DDF">
      <w:pPr>
        <w:pStyle w:val="ListBullet2"/>
      </w:pPr>
      <w:r w:rsidRPr="00B71DDF">
        <w:t>armouring/gravelling of roads</w:t>
      </w:r>
    </w:p>
    <w:p w:rsidR="00000000" w:rsidRPr="00B71DDF" w:rsidP="00B71DDF">
      <w:pPr>
        <w:pStyle w:val="ListBullet2"/>
      </w:pPr>
      <w:r w:rsidRPr="00B71DDF">
        <w:t>crossing and draining surfaces</w:t>
      </w:r>
    </w:p>
    <w:p w:rsidR="00000000" w:rsidRPr="00B71DDF" w:rsidP="00B71DDF">
      <w:pPr>
        <w:pStyle w:val="ListBullet2"/>
      </w:pPr>
      <w:r w:rsidRPr="00B71DDF">
        <w:t>batter stabilisation</w:t>
      </w:r>
    </w:p>
    <w:p w:rsidR="00000000" w:rsidRPr="00B71DDF" w:rsidP="00B71DDF">
      <w:pPr>
        <w:pStyle w:val="ListBullet2"/>
      </w:pPr>
      <w:r w:rsidRPr="00B71DDF">
        <w:t>contour banks and channels</w:t>
      </w:r>
    </w:p>
    <w:p w:rsidR="00000000" w:rsidRPr="00B71DDF" w:rsidP="00B71DDF">
      <w:pPr>
        <w:pStyle w:val="ListBullet2"/>
      </w:pPr>
      <w:r w:rsidRPr="00B71DDF">
        <w:t>gabions</w:t>
      </w:r>
    </w:p>
    <w:p w:rsidR="00000000" w:rsidRPr="00B71DDF" w:rsidP="00B71DDF">
      <w:pPr>
        <w:pStyle w:val="ListBullet2"/>
      </w:pPr>
      <w:r w:rsidRPr="00B71DDF">
        <w:t>sediment basins</w:t>
      </w:r>
    </w:p>
    <w:p w:rsidR="00000000" w:rsidRPr="00B71DDF" w:rsidP="00B71DDF">
      <w:pPr>
        <w:pStyle w:val="ListBullet2"/>
      </w:pPr>
      <w:r w:rsidRPr="00B71DDF">
        <w:t>riparian buffer zones</w:t>
      </w:r>
    </w:p>
    <w:p w:rsidR="00000000" w:rsidRPr="00B71DDF" w:rsidP="00B71DDF">
      <w:pPr>
        <w:pStyle w:val="ListBullet2"/>
      </w:pPr>
      <w:r w:rsidRPr="00B71DDF">
        <w:t>outlet protection structures</w:t>
      </w:r>
    </w:p>
    <w:p w:rsidR="00000000" w:rsidRPr="00B71DDF" w:rsidP="00B71DDF">
      <w:pPr>
        <w:pStyle w:val="ListBullet2"/>
      </w:pPr>
      <w:r w:rsidRPr="00B71DDF">
        <w:t>revegetation</w:t>
      </w:r>
    </w:p>
    <w:p w:rsidR="00000000" w:rsidRPr="00B71DDF" w:rsidP="00B71DDF">
      <w:pPr>
        <w:pStyle w:val="ListBullet"/>
      </w:pPr>
      <w:r w:rsidRPr="00B71DDF">
        <w:t>factors that are likely to influence soil and water protection measures:</w:t>
      </w:r>
    </w:p>
    <w:p w:rsidR="00000000" w:rsidRPr="00B71DDF" w:rsidP="00B71DDF">
      <w:pPr>
        <w:pStyle w:val="ListBullet2"/>
      </w:pPr>
      <w:r w:rsidRPr="00B71DDF">
        <w:t>track and road maintenance</w:t>
      </w:r>
    </w:p>
    <w:p w:rsidR="00000000" w:rsidRPr="00B71DDF" w:rsidP="00B71DDF">
      <w:pPr>
        <w:pStyle w:val="ListBullet2"/>
      </w:pPr>
      <w:r w:rsidRPr="00B71DDF">
        <w:t>drainage structures</w:t>
      </w:r>
    </w:p>
    <w:p w:rsidR="00000000" w:rsidRPr="00B71DDF" w:rsidP="00B71DDF">
      <w:pPr>
        <w:pStyle w:val="ListBullet2"/>
      </w:pPr>
      <w:r w:rsidRPr="00B71DDF">
        <w:t>setting of contour lines</w:t>
      </w:r>
    </w:p>
    <w:p w:rsidR="00000000" w:rsidRPr="00B71DDF" w:rsidP="00B71DDF">
      <w:pPr>
        <w:pStyle w:val="ListBullet2"/>
      </w:pPr>
      <w:r w:rsidRPr="00B71DDF">
        <w:t>slope measurement techniques</w:t>
      </w:r>
    </w:p>
    <w:p w:rsidR="00000000" w:rsidRPr="00B71DDF" w:rsidP="00B71DDF">
      <w:pPr>
        <w:pStyle w:val="ListBullet2"/>
      </w:pPr>
      <w:r w:rsidRPr="00B71DDF">
        <w:t>boundaries and survey markers</w:t>
      </w:r>
    </w:p>
    <w:p w:rsidR="00000000" w:rsidRPr="00B71DDF" w:rsidP="00B71DDF">
      <w:pPr>
        <w:pStyle w:val="ListBullet2"/>
      </w:pPr>
      <w:r w:rsidRPr="00B71DDF">
        <w:t>site preparation techniques</w:t>
      </w:r>
    </w:p>
    <w:p w:rsidR="00000000" w:rsidRPr="00B71DDF" w:rsidP="00B71DDF">
      <w:pPr>
        <w:pStyle w:val="ListBullet2"/>
      </w:pPr>
      <w:r w:rsidRPr="00B71DDF">
        <w:t>site cultivation techni</w:t>
      </w:r>
      <w:r w:rsidRPr="00B71DDF">
        <w:t>ques</w:t>
      </w:r>
    </w:p>
    <w:p w:rsidR="00000000" w:rsidRPr="00B71DDF" w:rsidP="00B71DDF">
      <w:pPr>
        <w:pStyle w:val="ListBullet2"/>
      </w:pPr>
      <w:r w:rsidRPr="00B71DDF">
        <w:t>disposal of logging waste materials</w:t>
      </w:r>
    </w:p>
    <w:p w:rsidR="00000000" w:rsidRPr="00B71DDF" w:rsidP="00B71DDF">
      <w:pPr>
        <w:pStyle w:val="ListBullet2"/>
      </w:pPr>
      <w:r w:rsidRPr="00B71DDF">
        <w:t>windrowing placement and techniques</w:t>
      </w:r>
    </w:p>
    <w:p w:rsidR="00000000" w:rsidRPr="00B71DDF" w:rsidP="00B71DDF">
      <w:pPr>
        <w:pStyle w:val="ListBullet2"/>
      </w:pPr>
      <w:r w:rsidRPr="00B71DDF">
        <w:t>tree selection and felling techniques</w:t>
      </w:r>
    </w:p>
    <w:p w:rsidR="00000000" w:rsidRPr="00B71DDF" w:rsidP="00B71DDF">
      <w:pPr>
        <w:pStyle w:val="ListBullet2"/>
      </w:pPr>
      <w:r w:rsidRPr="00B71DDF">
        <w:t>log dump locations and techniques</w:t>
      </w:r>
    </w:p>
    <w:p w:rsidR="00000000" w:rsidRPr="00B71DDF" w:rsidP="00B71DDF">
      <w:pPr>
        <w:pStyle w:val="ListBullet2"/>
      </w:pPr>
      <w:r w:rsidRPr="00B71DDF">
        <w:t>log extraction and haulage techniques</w:t>
      </w:r>
    </w:p>
    <w:p w:rsidR="00000000" w:rsidRPr="00B71DDF" w:rsidP="00B71DDF">
      <w:pPr>
        <w:pStyle w:val="ListBullet2"/>
      </w:pPr>
      <w:r w:rsidRPr="00B71DDF">
        <w:t>clearing techniques</w:t>
      </w:r>
    </w:p>
    <w:p w:rsidR="00000000" w:rsidRPr="00B71DDF" w:rsidP="00B71DDF">
      <w:pPr>
        <w:pStyle w:val="ListBullet2"/>
      </w:pPr>
      <w:r w:rsidRPr="00B71DDF">
        <w:t>soil types</w:t>
      </w:r>
    </w:p>
    <w:p w:rsidR="00000000" w:rsidRPr="00B71DDF" w:rsidP="00B71DDF">
      <w:pPr>
        <w:pStyle w:val="ListBullet"/>
      </w:pPr>
      <w:r w:rsidRPr="00B71DDF">
        <w:t>environmental features that can be adversely affected if soil erosion occurs, or if inundated with sediment of other pollutants:</w:t>
      </w:r>
    </w:p>
    <w:p w:rsidR="00000000" w:rsidRPr="00B71DDF" w:rsidP="00B71DDF">
      <w:pPr>
        <w:pStyle w:val="ListBullet2"/>
      </w:pPr>
      <w:r w:rsidRPr="00B71DDF">
        <w:t>trees, understorey and other vegetation</w:t>
      </w:r>
    </w:p>
    <w:p w:rsidR="00000000" w:rsidRPr="00B71DDF" w:rsidP="00B71DDF">
      <w:pPr>
        <w:pStyle w:val="ListBullet2"/>
      </w:pPr>
      <w:r w:rsidRPr="00B71DDF">
        <w:t>drainage lines and drainage depressions</w:t>
      </w:r>
    </w:p>
    <w:p w:rsidR="00000000" w:rsidRPr="00B71DDF" w:rsidP="00B71DDF">
      <w:pPr>
        <w:pStyle w:val="ListBullet2"/>
      </w:pPr>
      <w:r w:rsidRPr="00B71DDF">
        <w:t>water course, creeks and rivers</w:t>
      </w:r>
    </w:p>
    <w:p w:rsidR="00000000" w:rsidRPr="00B71DDF" w:rsidP="00B71DDF">
      <w:pPr>
        <w:pStyle w:val="ListBullet2"/>
      </w:pPr>
      <w:r w:rsidRPr="00B71DDF">
        <w:t xml:space="preserve">lakes, swamps </w:t>
      </w:r>
      <w:r w:rsidRPr="00B71DDF">
        <w:t>and wetlands</w:t>
      </w:r>
    </w:p>
    <w:p w:rsidR="00000000" w:rsidRPr="00B71DDF" w:rsidP="00B71DDF">
      <w:pPr>
        <w:pStyle w:val="ListBullet2"/>
      </w:pPr>
      <w:r w:rsidRPr="00B71DDF">
        <w:t>aquatic species</w:t>
      </w:r>
    </w:p>
    <w:p w:rsidR="00000000" w:rsidRPr="00B71DDF" w:rsidP="00B71DDF">
      <w:pPr>
        <w:pStyle w:val="ListBullet2"/>
      </w:pPr>
      <w:r w:rsidRPr="00B71DDF">
        <w:t>steep slopes</w:t>
      </w:r>
    </w:p>
    <w:p w:rsidR="00000000" w:rsidRPr="00B71DDF" w:rsidP="00B71DDF">
      <w:pPr>
        <w:pStyle w:val="ListBullet2"/>
      </w:pPr>
      <w:r w:rsidRPr="00B71DDF">
        <w:t>caves</w:t>
      </w:r>
    </w:p>
    <w:p w:rsidR="00000000" w:rsidRPr="00B71DDF" w:rsidP="00B71DDF">
      <w:pPr>
        <w:pStyle w:val="ListBullet2"/>
      </w:pPr>
      <w:r w:rsidRPr="00B71DDF">
        <w:t>historic and cultural heritage sites</w:t>
      </w:r>
    </w:p>
    <w:p w:rsidR="00000000" w:rsidRPr="00B71DDF" w:rsidP="00B71DDF">
      <w:pPr>
        <w:pStyle w:val="ListBullet2"/>
      </w:pPr>
      <w:r w:rsidRPr="00B71DDF">
        <w:t>road and water supply infrastructure</w:t>
      </w:r>
    </w:p>
    <w:p w:rsidR="00000000" w:rsidRPr="00B71DDF" w:rsidP="00B71DDF">
      <w:pPr>
        <w:pStyle w:val="ListBullet"/>
      </w:pPr>
      <w:r w:rsidRPr="00B71DDF">
        <w:t>other pollution control measures:</w:t>
      </w:r>
    </w:p>
    <w:p w:rsidR="00000000" w:rsidRPr="00B71DDF" w:rsidP="00B71DDF">
      <w:pPr>
        <w:pStyle w:val="ListBullet2"/>
      </w:pPr>
      <w:r w:rsidRPr="00B71DDF">
        <w:t>fuel containment barriers</w:t>
      </w:r>
    </w:p>
    <w:p w:rsidR="00000000" w:rsidRPr="00B71DDF" w:rsidP="00B71DDF">
      <w:pPr>
        <w:pStyle w:val="ListBullet2"/>
      </w:pPr>
      <w:r w:rsidRPr="00B71DDF">
        <w:t>chemical spillage barriers</w:t>
      </w:r>
    </w:p>
    <w:p w:rsidR="00000000" w:rsidRPr="00B71DDF" w:rsidP="00B71DDF">
      <w:pPr>
        <w:pStyle w:val="ListBullet2"/>
      </w:pPr>
      <w:r w:rsidRPr="00B71DDF">
        <w:t>containment and removal of work waste, rubbish litter and human waste</w:t>
      </w:r>
    </w:p>
    <w:p w:rsidR="00000000" w:rsidRPr="00B71DDF" w:rsidP="00B71DDF">
      <w:pPr>
        <w:pStyle w:val="ListBullet"/>
      </w:pPr>
      <w:r w:rsidRPr="00B71DDF">
        <w:t>risks and hazard identification relevant to soil and water protection</w:t>
      </w:r>
    </w:p>
    <w:p w:rsidR="00000000" w:rsidRPr="00B71DDF" w:rsidP="00B71DDF">
      <w:pPr>
        <w:pStyle w:val="ListBullet"/>
      </w:pPr>
      <w:r w:rsidRPr="00B71DDF">
        <w:t>established communication channels and protocols for compliance with soil and water protection</w:t>
      </w:r>
    </w:p>
    <w:p w:rsidR="00000000" w:rsidRPr="00B71DDF" w:rsidP="00B71DDF">
      <w:pPr>
        <w:pStyle w:val="ListBullet"/>
      </w:pPr>
      <w:r w:rsidRPr="00B71DDF">
        <w:t>procedures for recor</w:t>
      </w:r>
      <w:r w:rsidRPr="00B71DDF">
        <w:t>ding and reporting workplace information related to soil and water protection activities.</w:t>
      </w:r>
    </w:p>
    <w:p w:rsidR="00000000" w:rsidRPr="00B71DDF" w:rsidP="00B71DDF">
      <w:pPr>
        <w:pStyle w:val="AllowPageBreak"/>
      </w:pPr>
    </w:p>
    <w:p w:rsidR="00000000" w:rsidRPr="00B71DDF" w:rsidP="00B71DDF">
      <w:pPr>
        <w:pStyle w:val="Heading1"/>
      </w:pPr>
      <w:bookmarkStart w:id="4" w:name="O_1101804"/>
      <w:bookmarkEnd w:id="4"/>
      <w:r w:rsidRPr="00B71DDF">
        <w:t>Assessment Conditions</w:t>
      </w:r>
    </w:p>
    <w:p w:rsidR="00000000" w:rsidRPr="00B71DDF" w:rsidP="00975878">
      <w:pPr>
        <w:pStyle w:val="BodyText"/>
      </w:pPr>
      <w:r w:rsidRPr="00B71DDF">
        <w:t xml:space="preserve">Assessment of the skills in this unit of competency must take place under the following conditions: </w:t>
      </w:r>
    </w:p>
    <w:p w:rsidR="00000000" w:rsidRPr="00B71DDF" w:rsidP="00B71DDF">
      <w:pPr>
        <w:pStyle w:val="ListBullet"/>
      </w:pPr>
      <w:r w:rsidRPr="00B71DDF">
        <w:t>physical conditions:</w:t>
      </w:r>
    </w:p>
    <w:p w:rsidR="00000000" w:rsidRPr="00B71DDF" w:rsidP="00B71DDF">
      <w:pPr>
        <w:pStyle w:val="ListBullet2"/>
      </w:pPr>
      <w:r w:rsidRPr="00B71DDF">
        <w:t xml:space="preserve">skills must be demonstrated in the workplace or an environment that accurately represents workplace conditions </w:t>
      </w:r>
    </w:p>
    <w:p w:rsidR="00000000" w:rsidRPr="00B71DDF" w:rsidP="00B71DDF">
      <w:pPr>
        <w:pStyle w:val="ListBullet"/>
      </w:pPr>
      <w:r w:rsidRPr="00B71DDF">
        <w:t>resources, equipment and materials:</w:t>
      </w:r>
    </w:p>
    <w:p w:rsidR="00000000" w:rsidRPr="00B71DDF" w:rsidP="00B71DDF">
      <w:pPr>
        <w:pStyle w:val="ListBullet2"/>
      </w:pPr>
      <w:r w:rsidRPr="00B71DDF">
        <w:t>tools, equipment and machinery required for soil and water protection operations</w:t>
      </w:r>
    </w:p>
    <w:p w:rsidR="00000000" w:rsidRPr="00B71DDF" w:rsidP="00B71DDF">
      <w:pPr>
        <w:pStyle w:val="ListBullet2"/>
      </w:pPr>
      <w:r w:rsidRPr="00B71DDF">
        <w:t>personal protective equip</w:t>
      </w:r>
      <w:r w:rsidRPr="00B71DDF">
        <w:t>ment used in soil and water protection operations</w:t>
      </w:r>
    </w:p>
    <w:p w:rsidR="00000000" w:rsidRPr="00B71DDF" w:rsidP="00B71DDF">
      <w:pPr>
        <w:pStyle w:val="ListBullet2"/>
      </w:pPr>
      <w:r w:rsidRPr="00B71DDF">
        <w:t>communication system</w:t>
      </w:r>
    </w:p>
    <w:p w:rsidR="00000000" w:rsidRPr="00B71DDF" w:rsidP="00B71DDF">
      <w:pPr>
        <w:pStyle w:val="ListBullet"/>
      </w:pPr>
      <w:r w:rsidRPr="00B71DDF">
        <w:t>specifications:</w:t>
      </w:r>
    </w:p>
    <w:p w:rsidR="00000000" w:rsidRPr="00B71DDF" w:rsidP="00B71DDF">
      <w:pPr>
        <w:pStyle w:val="ListBullet2"/>
      </w:pPr>
      <w:r w:rsidRPr="00B71DDF">
        <w:t>access to workplace policies and procedures applicable to soil and water protection operations</w:t>
      </w:r>
    </w:p>
    <w:p w:rsidR="00000000" w:rsidRPr="00B71DDF" w:rsidP="00B71DDF">
      <w:pPr>
        <w:pStyle w:val="ListBullet2"/>
      </w:pPr>
      <w:r w:rsidRPr="00B71DDF">
        <w:t>access to operational plans</w:t>
      </w:r>
    </w:p>
    <w:p w:rsidR="00000000" w:rsidRPr="00B71DDF" w:rsidP="00B71DDF">
      <w:pPr>
        <w:pStyle w:val="ListBullet2"/>
      </w:pPr>
      <w:r w:rsidRPr="00B71DDF">
        <w:t>access to access to workplace procedures and</w:t>
      </w:r>
      <w:r w:rsidRPr="00B71DDF">
        <w:t xml:space="preserve"> forms for recording soil and water protection activities.</w:t>
      </w:r>
    </w:p>
    <w:p w:rsidR="00000000" w:rsidRPr="00B71DDF" w:rsidP="00975878">
      <w:pPr>
        <w:pStyle w:val="BodyText"/>
      </w:pPr>
      <w:r w:rsidRPr="00B71DDF">
        <w:t>Assessors of this unit must satisfy the requirements for assessors in applicable vocational education and training legislation, frameworks and/or standards.</w:t>
      </w:r>
    </w:p>
    <w:p w:rsidR="00000000" w:rsidRPr="00B71DDF" w:rsidP="00B71DDF">
      <w:pPr>
        <w:pStyle w:val="Heading1"/>
      </w:pPr>
      <w:bookmarkStart w:id="5" w:name="O_1101807"/>
      <w:bookmarkEnd w:id="5"/>
      <w:r w:rsidRPr="00B71DDF">
        <w:t>Links</w:t>
      </w:r>
    </w:p>
    <w:p w:rsidR="00000000" w:rsidRPr="00B71DDF" w:rsidP="00975878">
      <w:pPr>
        <w:pStyle w:val="BodyText"/>
      </w:pPr>
      <w:r w:rsidRPr="00B71DDF">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EE5A90">
        <w:rPr>
          <w:rStyle w:val="Hyperlink"/>
        </w:rPr>
        <w:t>https://vetnet.gov.au/Pages/TrainingDocs.aspx?q=0d96fe23-5747-4c01-9d6f-3509ff8d3d47</w:t>
      </w:r>
      <w:r>
        <w:fldChar w:fldCharType="end"/>
      </w:r>
    </w:p>
    <w:p w:rsidR="00000000" w:rsidRPr="00B71DDF" w:rsidP="00B71DDF"/>
    <w:sectPr w:rsidSect="00B71DD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D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DDF" w:rsidRPr="00975878" w:rsidP="009758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D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878" w:rsidP="00B71D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75878" w:rsidP="00B71DD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975878" w:rsidP="00B71DD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D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87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71DDF" w:rsidRPr="00975878" w:rsidP="0097587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D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878" w:rsidRPr="002D2AF8" w:rsidP="00B71DDF">
    <w:pPr>
      <w:pStyle w:val="Header"/>
      <w:framePr w:wrap="around"/>
    </w:pPr>
    <w:r>
      <w:fldChar w:fldCharType="begin"/>
    </w:r>
    <w:r>
      <w:instrText xml:space="preserve"> TITLE   \* MERGEFORMAT </w:instrText>
    </w:r>
    <w:r>
      <w:fldChar w:fldCharType="separate"/>
    </w:r>
    <w:r>
      <w:t>Assessment Requirements for FWPCOT3314 Comply with soil and water protection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975878" w:rsidP="00B71DD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37A94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99217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8A2D0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1DD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71DDF"/>
    <w:pPr>
      <w:spacing w:before="360" w:after="60"/>
      <w:outlineLvl w:val="0"/>
    </w:pPr>
    <w:rPr>
      <w:sz w:val="32"/>
    </w:rPr>
  </w:style>
  <w:style w:type="paragraph" w:styleId="Heading2">
    <w:name w:val="heading 2"/>
    <w:basedOn w:val="HeadingBase"/>
    <w:next w:val="BodyText"/>
    <w:link w:val="Heading2Char"/>
    <w:qFormat/>
    <w:rsid w:val="00B71DDF"/>
    <w:pPr>
      <w:keepLines/>
      <w:spacing w:before="240" w:after="120"/>
      <w:outlineLvl w:val="1"/>
    </w:pPr>
    <w:rPr>
      <w:sz w:val="28"/>
      <w:szCs w:val="40"/>
    </w:rPr>
  </w:style>
  <w:style w:type="paragraph" w:styleId="Heading3">
    <w:name w:val="heading 3"/>
    <w:basedOn w:val="HeadingBase"/>
    <w:next w:val="BodyText"/>
    <w:link w:val="Heading3Char"/>
    <w:qFormat/>
    <w:rsid w:val="00B71DDF"/>
    <w:pPr>
      <w:spacing w:before="180" w:after="120"/>
      <w:outlineLvl w:val="2"/>
    </w:pPr>
    <w:rPr>
      <w:spacing w:val="-10"/>
      <w:kern w:val="32"/>
    </w:rPr>
  </w:style>
  <w:style w:type="paragraph" w:styleId="Heading4">
    <w:name w:val="heading 4"/>
    <w:basedOn w:val="HeadingBase"/>
    <w:next w:val="BodyText"/>
    <w:link w:val="Heading4Char"/>
    <w:qFormat/>
    <w:rsid w:val="00B71DDF"/>
    <w:pPr>
      <w:spacing w:before="160" w:after="120"/>
      <w:outlineLvl w:val="3"/>
    </w:pPr>
    <w:rPr>
      <w:sz w:val="22"/>
    </w:rPr>
  </w:style>
  <w:style w:type="paragraph" w:styleId="Heading5">
    <w:name w:val="heading 5"/>
    <w:basedOn w:val="HeadingBase"/>
    <w:next w:val="Normal"/>
    <w:link w:val="Heading5Char"/>
    <w:qFormat/>
    <w:rsid w:val="00B71DDF"/>
    <w:pPr>
      <w:spacing w:before="80"/>
      <w:outlineLvl w:val="4"/>
    </w:pPr>
    <w:rPr>
      <w:color w:val="918585"/>
      <w:sz w:val="20"/>
    </w:rPr>
  </w:style>
  <w:style w:type="paragraph" w:styleId="Heading6">
    <w:name w:val="heading 6"/>
    <w:basedOn w:val="HeadingBase"/>
    <w:next w:val="Normal"/>
    <w:link w:val="Heading6Char"/>
    <w:qFormat/>
    <w:rsid w:val="00B71DDF"/>
    <w:pPr>
      <w:spacing w:before="60"/>
      <w:outlineLvl w:val="5"/>
    </w:pPr>
    <w:rPr>
      <w:color w:val="918585"/>
      <w:sz w:val="20"/>
    </w:rPr>
  </w:style>
  <w:style w:type="paragraph" w:styleId="Heading7">
    <w:name w:val="heading 7"/>
    <w:basedOn w:val="Normal"/>
    <w:next w:val="Normal"/>
    <w:link w:val="Heading7Char"/>
    <w:qFormat/>
    <w:rsid w:val="00B71DDF"/>
    <w:pPr>
      <w:ind w:left="720"/>
      <w:outlineLvl w:val="6"/>
    </w:pPr>
    <w:rPr>
      <w:i/>
    </w:rPr>
  </w:style>
  <w:style w:type="paragraph" w:styleId="Heading8">
    <w:name w:val="heading 8"/>
    <w:basedOn w:val="Normal"/>
    <w:next w:val="Normal"/>
    <w:link w:val="Heading8Char"/>
    <w:qFormat/>
    <w:rsid w:val="00B71DDF"/>
    <w:pPr>
      <w:ind w:left="720"/>
      <w:outlineLvl w:val="7"/>
    </w:pPr>
    <w:rPr>
      <w:i/>
    </w:rPr>
  </w:style>
  <w:style w:type="paragraph" w:styleId="Heading9">
    <w:name w:val="heading 9"/>
    <w:basedOn w:val="Normal"/>
    <w:next w:val="Normal"/>
    <w:link w:val="Heading9Char"/>
    <w:qFormat/>
    <w:rsid w:val="00B71DDF"/>
    <w:pPr>
      <w:ind w:left="720"/>
      <w:outlineLvl w:val="8"/>
    </w:pPr>
    <w:rPr>
      <w:i/>
    </w:rPr>
  </w:style>
  <w:style w:type="character" w:default="1" w:styleId="DefaultParagraphFont">
    <w:name w:val="Default Paragraph Font"/>
    <w:uiPriority w:val="1"/>
    <w:unhideWhenUsed/>
    <w:rsid w:val="00B71D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1DDF"/>
  </w:style>
  <w:style w:type="character" w:customStyle="1" w:styleId="Heading1Char">
    <w:name w:val="Heading 1 Char"/>
    <w:basedOn w:val="DefaultParagraphFont"/>
    <w:link w:val="Heading1"/>
    <w:rsid w:val="00B71DDF"/>
    <w:rPr>
      <w:rFonts w:ascii="Times New Roman" w:eastAsia="Times New Roman" w:hAnsi="Times New Roman" w:cs="Times New Roman"/>
      <w:b/>
      <w:sz w:val="32"/>
      <w:szCs w:val="20"/>
      <w:lang w:eastAsia="en-US"/>
    </w:rPr>
  </w:style>
  <w:style w:type="paragraph" w:styleId="BodyText">
    <w:name w:val="Body Text"/>
    <w:basedOn w:val="Normal"/>
    <w:link w:val="BodyTextChar"/>
    <w:rsid w:val="00B71DD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71DDF"/>
    <w:rPr>
      <w:rFonts w:ascii="Times New Roman" w:eastAsia="Times New Roman" w:hAnsi="Times New Roman" w:cs="Times New Roman"/>
      <w:sz w:val="24"/>
      <w:lang w:eastAsia="en-US"/>
    </w:rPr>
  </w:style>
  <w:style w:type="paragraph" w:styleId="ListBullet">
    <w:name w:val="List Bullet"/>
    <w:basedOn w:val="List"/>
    <w:rsid w:val="00B71DDF"/>
    <w:pPr>
      <w:numPr>
        <w:numId w:val="12"/>
      </w:numPr>
      <w:tabs>
        <w:tab w:val="clear" w:pos="340"/>
      </w:tabs>
      <w:spacing w:before="40" w:after="40"/>
    </w:pPr>
  </w:style>
  <w:style w:type="paragraph" w:styleId="ListBullet2">
    <w:name w:val="List Bullet 2"/>
    <w:basedOn w:val="List2"/>
    <w:rsid w:val="00B71DDF"/>
    <w:pPr>
      <w:numPr>
        <w:numId w:val="13"/>
      </w:numPr>
      <w:tabs>
        <w:tab w:val="clear" w:pos="680"/>
      </w:tabs>
    </w:pPr>
  </w:style>
  <w:style w:type="paragraph" w:customStyle="1" w:styleId="SuperHeading">
    <w:name w:val="SuperHeading"/>
    <w:basedOn w:val="Normal"/>
    <w:rsid w:val="00B71DDF"/>
    <w:pPr>
      <w:spacing w:before="240" w:after="120"/>
      <w:outlineLvl w:val="0"/>
    </w:pPr>
    <w:rPr>
      <w:rFonts w:ascii="Times New Roman" w:hAnsi="Times New Roman"/>
      <w:b/>
      <w:sz w:val="32"/>
    </w:rPr>
  </w:style>
  <w:style w:type="paragraph" w:customStyle="1" w:styleId="AllowPageBreak">
    <w:name w:val="AllowPageBreak"/>
    <w:rsid w:val="00B71DD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B71DDF"/>
    <w:rPr>
      <w:b/>
    </w:rPr>
  </w:style>
  <w:style w:type="character" w:customStyle="1" w:styleId="Heading2Char">
    <w:name w:val="Heading 2 Char"/>
    <w:basedOn w:val="DefaultParagraphFont"/>
    <w:link w:val="Heading2"/>
    <w:rsid w:val="00B71D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1D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1D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1D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1D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1DD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71DD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71DDF"/>
    <w:rPr>
      <w:rFonts w:ascii="Courier New" w:eastAsia="Times New Roman" w:hAnsi="Courier New" w:cs="Times New Roman"/>
      <w:i/>
      <w:szCs w:val="20"/>
      <w:lang w:eastAsia="en-US"/>
    </w:rPr>
  </w:style>
  <w:style w:type="paragraph" w:customStyle="1" w:styleId="HeadingBase">
    <w:name w:val="Heading Base"/>
    <w:rsid w:val="00B71D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1DDF"/>
    <w:pPr>
      <w:tabs>
        <w:tab w:val="right" w:leader="dot" w:pos="9072"/>
      </w:tabs>
      <w:ind w:left="567"/>
    </w:pPr>
    <w:rPr>
      <w:szCs w:val="22"/>
    </w:rPr>
  </w:style>
  <w:style w:type="paragraph" w:customStyle="1" w:styleId="TOCBase">
    <w:name w:val="TOC Base"/>
    <w:rsid w:val="00B71D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1DDF"/>
    <w:pPr>
      <w:tabs>
        <w:tab w:val="right" w:leader="dot" w:pos="9072"/>
      </w:tabs>
      <w:spacing w:before="40" w:after="40"/>
      <w:ind w:left="284"/>
    </w:pPr>
    <w:rPr>
      <w:rFonts w:ascii="Times New Roman" w:hAnsi="Times New Roman"/>
    </w:rPr>
  </w:style>
  <w:style w:type="paragraph" w:styleId="TOC1">
    <w:name w:val="toc 1"/>
    <w:basedOn w:val="TOCBase"/>
    <w:next w:val="Normal"/>
    <w:rsid w:val="00B71DD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71D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1DDF"/>
    <w:rPr>
      <w:rFonts w:ascii="Times New Roman" w:eastAsia="Times New Roman" w:hAnsi="Times New Roman" w:cs="Times New Roman"/>
      <w:sz w:val="16"/>
      <w:lang w:eastAsia="en-US"/>
    </w:rPr>
  </w:style>
  <w:style w:type="paragraph" w:styleId="Title">
    <w:name w:val="Title"/>
    <w:basedOn w:val="HeadingBase"/>
    <w:link w:val="TitleChar"/>
    <w:qFormat/>
    <w:rsid w:val="00B71DDF"/>
    <w:pPr>
      <w:spacing w:before="5040"/>
      <w:jc w:val="center"/>
    </w:pPr>
    <w:rPr>
      <w:sz w:val="48"/>
      <w:szCs w:val="72"/>
      <w:lang w:val="en-US"/>
    </w:rPr>
  </w:style>
  <w:style w:type="character" w:customStyle="1" w:styleId="TitleChar">
    <w:name w:val="Title Char"/>
    <w:basedOn w:val="DefaultParagraphFont"/>
    <w:link w:val="Title"/>
    <w:rsid w:val="00B71D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1DDF"/>
    <w:pPr>
      <w:tabs>
        <w:tab w:val="left" w:pos="3600"/>
        <w:tab w:val="left" w:pos="3958"/>
      </w:tabs>
    </w:pPr>
  </w:style>
  <w:style w:type="paragraph" w:styleId="List">
    <w:name w:val="List"/>
    <w:basedOn w:val="BodyText"/>
    <w:next w:val="BodyText"/>
    <w:rsid w:val="00B71DDF"/>
    <w:pPr>
      <w:tabs>
        <w:tab w:val="left" w:pos="340"/>
      </w:tabs>
      <w:spacing w:before="60" w:after="60"/>
      <w:ind w:left="340" w:hanging="340"/>
    </w:pPr>
  </w:style>
  <w:style w:type="paragraph" w:customStyle="1" w:styleId="Note">
    <w:name w:val="Note"/>
    <w:basedOn w:val="BodyText"/>
    <w:rsid w:val="00B71DD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71DDF"/>
    <w:rPr>
      <w:b/>
      <w:spacing w:val="0"/>
    </w:rPr>
  </w:style>
  <w:style w:type="paragraph" w:customStyle="1" w:styleId="SuperTitle">
    <w:name w:val="SuperTitle"/>
    <w:basedOn w:val="Title"/>
    <w:rsid w:val="00B71DDF"/>
    <w:pPr>
      <w:framePr w:wrap="auto" w:hAnchor="text" w:y="6049"/>
    </w:pPr>
    <w:rPr>
      <w:color w:val="000000"/>
      <w:sz w:val="40"/>
    </w:rPr>
  </w:style>
  <w:style w:type="paragraph" w:customStyle="1" w:styleId="TOCTitle">
    <w:name w:val="TOCTitle"/>
    <w:basedOn w:val="Heading1"/>
    <w:rsid w:val="00B71DDF"/>
    <w:pPr>
      <w:spacing w:after="240"/>
      <w:jc w:val="center"/>
      <w:outlineLvl w:val="9"/>
    </w:pPr>
    <w:rPr>
      <w:caps/>
    </w:rPr>
  </w:style>
  <w:style w:type="paragraph" w:customStyle="1" w:styleId="Version">
    <w:name w:val="Version"/>
    <w:rsid w:val="00B71DD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71DDF"/>
    <w:pPr>
      <w:keepNext w:val="0"/>
      <w:tabs>
        <w:tab w:val="right" w:pos="4176"/>
      </w:tabs>
      <w:ind w:left="198" w:hanging="198"/>
    </w:pPr>
    <w:rPr>
      <w:rFonts w:ascii="Garamond" w:hAnsi="Garamond"/>
    </w:rPr>
  </w:style>
  <w:style w:type="paragraph" w:styleId="IndexHeading">
    <w:name w:val="index heading"/>
    <w:basedOn w:val="Normal"/>
    <w:next w:val="Index1"/>
    <w:semiHidden/>
    <w:rsid w:val="00B71DDF"/>
    <w:pPr>
      <w:spacing w:before="120" w:after="120"/>
    </w:pPr>
    <w:rPr>
      <w:rFonts w:ascii="Arial" w:hAnsi="Arial"/>
      <w:b/>
      <w:color w:val="918585"/>
      <w:sz w:val="24"/>
    </w:rPr>
  </w:style>
  <w:style w:type="paragraph" w:styleId="Header">
    <w:name w:val="header"/>
    <w:basedOn w:val="Normal"/>
    <w:link w:val="HeaderChar"/>
    <w:rsid w:val="00B71D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1DDF"/>
    <w:rPr>
      <w:rFonts w:ascii="Times New Roman" w:eastAsia="Times New Roman" w:hAnsi="Times New Roman" w:cs="Times New Roman"/>
      <w:sz w:val="16"/>
      <w:szCs w:val="20"/>
      <w:lang w:val="en-GB" w:eastAsia="en-US"/>
    </w:rPr>
  </w:style>
  <w:style w:type="paragraph" w:customStyle="1" w:styleId="Chapter">
    <w:name w:val="Chapter"/>
    <w:basedOn w:val="Normal"/>
    <w:rsid w:val="00B71DDF"/>
    <w:pPr>
      <w:spacing w:before="240"/>
    </w:pPr>
    <w:rPr>
      <w:rFonts w:ascii="Times New Roman" w:hAnsi="Times New Roman"/>
      <w:smallCaps/>
      <w:spacing w:val="80"/>
      <w:sz w:val="28"/>
    </w:rPr>
  </w:style>
  <w:style w:type="paragraph" w:customStyle="1" w:styleId="InChapter">
    <w:name w:val="InChapter"/>
    <w:basedOn w:val="Heading3"/>
    <w:rsid w:val="00B71DDF"/>
    <w:pPr>
      <w:spacing w:after="240"/>
      <w:outlineLvl w:val="9"/>
    </w:pPr>
    <w:rPr>
      <w:noProof/>
    </w:rPr>
  </w:style>
  <w:style w:type="paragraph" w:styleId="Index2">
    <w:name w:val="index 2"/>
    <w:basedOn w:val="Normal"/>
    <w:next w:val="Normal"/>
    <w:semiHidden/>
    <w:rsid w:val="00B71DDF"/>
    <w:pPr>
      <w:tabs>
        <w:tab w:val="right" w:pos="4176"/>
      </w:tabs>
      <w:ind w:left="568" w:hanging="284"/>
    </w:pPr>
    <w:rPr>
      <w:rFonts w:ascii="Garamond" w:hAnsi="Garamond"/>
    </w:rPr>
  </w:style>
  <w:style w:type="paragraph" w:customStyle="1" w:styleId="Byline">
    <w:name w:val="Byline"/>
    <w:rsid w:val="00B71D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1DDF"/>
    <w:pPr>
      <w:tabs>
        <w:tab w:val="clear" w:pos="3600"/>
        <w:tab w:val="clear" w:pos="3958"/>
      </w:tabs>
      <w:jc w:val="right"/>
    </w:pPr>
  </w:style>
  <w:style w:type="character" w:styleId="Emphasis">
    <w:name w:val="Emphasis"/>
    <w:basedOn w:val="DefaultParagraphFont"/>
    <w:qFormat/>
    <w:rsid w:val="00B71DDF"/>
    <w:rPr>
      <w:i/>
    </w:rPr>
  </w:style>
  <w:style w:type="paragraph" w:styleId="Caption">
    <w:name w:val="caption"/>
    <w:basedOn w:val="BodyText"/>
    <w:next w:val="Normal"/>
    <w:qFormat/>
    <w:rsid w:val="00B71DDF"/>
    <w:pPr>
      <w:framePr w:w="2268" w:hSpace="181" w:vSpace="181" w:wrap="around" w:vAnchor="text" w:hAnchor="page" w:x="1135" w:y="285" w:anchorLock="1"/>
    </w:pPr>
    <w:rPr>
      <w:i/>
    </w:rPr>
  </w:style>
  <w:style w:type="paragraph" w:customStyle="1" w:styleId="MiniTOCTitle">
    <w:name w:val="MiniTOCTitle"/>
    <w:basedOn w:val="Heading4"/>
    <w:rsid w:val="00B71DDF"/>
    <w:pPr>
      <w:spacing w:before="240"/>
      <w:outlineLvl w:val="9"/>
    </w:pPr>
    <w:rPr>
      <w:noProof/>
      <w:sz w:val="24"/>
    </w:rPr>
  </w:style>
  <w:style w:type="paragraph" w:customStyle="1" w:styleId="MiniTOCItem">
    <w:name w:val="MiniTOCItem"/>
    <w:basedOn w:val="ListBullet"/>
    <w:rsid w:val="00B71DDF"/>
    <w:pPr>
      <w:numPr>
        <w:numId w:val="0"/>
      </w:numPr>
      <w:tabs>
        <w:tab w:val="right" w:leader="dot" w:pos="6521"/>
      </w:tabs>
      <w:spacing w:before="0" w:after="0"/>
    </w:pPr>
  </w:style>
  <w:style w:type="paragraph" w:customStyle="1" w:styleId="TOFTitle">
    <w:name w:val="TOFTitle"/>
    <w:basedOn w:val="TOCTitle"/>
    <w:rsid w:val="00B71DDF"/>
  </w:style>
  <w:style w:type="paragraph" w:styleId="TableofFigures">
    <w:name w:val="table of figures"/>
    <w:basedOn w:val="Normal"/>
    <w:next w:val="Normal"/>
    <w:semiHidden/>
    <w:rsid w:val="00B71DDF"/>
    <w:pPr>
      <w:tabs>
        <w:tab w:val="right" w:leader="dot" w:pos="9072"/>
      </w:tabs>
      <w:ind w:left="970" w:hanging="403"/>
    </w:pPr>
    <w:rPr>
      <w:rFonts w:ascii="Times New Roman" w:hAnsi="Times New Roman"/>
      <w:b/>
    </w:rPr>
  </w:style>
  <w:style w:type="paragraph" w:styleId="ListNumber">
    <w:name w:val="List Number"/>
    <w:basedOn w:val="List"/>
    <w:rsid w:val="00B71DDF"/>
    <w:pPr>
      <w:numPr>
        <w:numId w:val="15"/>
      </w:numPr>
      <w:tabs>
        <w:tab w:val="clear" w:pos="340"/>
      </w:tabs>
    </w:pPr>
  </w:style>
  <w:style w:type="character" w:customStyle="1" w:styleId="WingdingSymbols">
    <w:name w:val="Wingding Symbols"/>
    <w:rsid w:val="00B71DDF"/>
    <w:rPr>
      <w:rFonts w:ascii="Wingdings" w:hAnsi="Wingdings"/>
    </w:rPr>
  </w:style>
  <w:style w:type="paragraph" w:customStyle="1" w:styleId="TableHeading">
    <w:name w:val="Table Heading"/>
    <w:basedOn w:val="HeadingBase"/>
    <w:rsid w:val="00B71DDF"/>
    <w:pPr>
      <w:keepLines/>
      <w:pBdr>
        <w:bottom w:val="single" w:sz="6" w:space="1" w:color="918585"/>
      </w:pBdr>
      <w:spacing w:before="240"/>
    </w:pPr>
  </w:style>
  <w:style w:type="character" w:customStyle="1" w:styleId="HotSpot">
    <w:name w:val="HotSpot"/>
    <w:rsid w:val="00B71DDF"/>
    <w:rPr>
      <w:color w:val="0033CC"/>
      <w:u w:val="none"/>
    </w:rPr>
  </w:style>
  <w:style w:type="paragraph" w:customStyle="1" w:styleId="BodyTextRight">
    <w:name w:val="Body Text Right"/>
    <w:basedOn w:val="BodyText"/>
    <w:rsid w:val="00B71DDF"/>
    <w:pPr>
      <w:spacing w:before="0" w:after="0"/>
      <w:jc w:val="right"/>
    </w:pPr>
  </w:style>
  <w:style w:type="paragraph" w:styleId="Index3">
    <w:name w:val="index 3"/>
    <w:basedOn w:val="ListNumber2"/>
    <w:next w:val="Normal"/>
    <w:semiHidden/>
    <w:rsid w:val="00B71DDF"/>
    <w:pPr>
      <w:numPr>
        <w:numId w:val="0"/>
      </w:numPr>
      <w:tabs>
        <w:tab w:val="right" w:leader="dot" w:pos="4176"/>
      </w:tabs>
    </w:pPr>
  </w:style>
  <w:style w:type="paragraph" w:styleId="ListNumber2">
    <w:name w:val="List Number 2"/>
    <w:basedOn w:val="List2"/>
    <w:rsid w:val="00B71DDF"/>
    <w:pPr>
      <w:numPr>
        <w:numId w:val="10"/>
      </w:numPr>
      <w:tabs>
        <w:tab w:val="clear" w:pos="1060"/>
      </w:tabs>
    </w:pPr>
  </w:style>
  <w:style w:type="paragraph" w:customStyle="1" w:styleId="MarginNote">
    <w:name w:val="Margin Note"/>
    <w:basedOn w:val="BodyText"/>
    <w:rsid w:val="00B71D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1D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1DD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71DDF"/>
    <w:rPr>
      <w:sz w:val="32"/>
    </w:rPr>
  </w:style>
  <w:style w:type="paragraph" w:customStyle="1" w:styleId="HeadingProcedure">
    <w:name w:val="Heading Procedure"/>
    <w:basedOn w:val="HeadingBase"/>
    <w:next w:val="Normal"/>
    <w:rsid w:val="00B71DDF"/>
    <w:pPr>
      <w:tabs>
        <w:tab w:val="left" w:pos="0"/>
      </w:tabs>
      <w:spacing w:before="120" w:after="60"/>
    </w:pPr>
    <w:rPr>
      <w:i/>
      <w:color w:val="918585"/>
      <w:sz w:val="22"/>
    </w:rPr>
  </w:style>
  <w:style w:type="paragraph" w:customStyle="1" w:styleId="TableBodyText">
    <w:name w:val="Table Body Text"/>
    <w:basedOn w:val="BodyText"/>
    <w:rsid w:val="00B71DDF"/>
    <w:pPr>
      <w:spacing w:before="60" w:after="60"/>
    </w:pPr>
  </w:style>
  <w:style w:type="paragraph" w:styleId="ListContinue">
    <w:name w:val="List Continue"/>
    <w:basedOn w:val="List"/>
    <w:rsid w:val="00B71DDF"/>
    <w:pPr>
      <w:ind w:firstLine="0"/>
    </w:pPr>
  </w:style>
  <w:style w:type="paragraph" w:customStyle="1" w:styleId="ListNote">
    <w:name w:val="List Note"/>
    <w:basedOn w:val="List"/>
    <w:rsid w:val="00B71DDF"/>
    <w:pPr>
      <w:pBdr>
        <w:top w:val="single" w:sz="6" w:space="2" w:color="918585"/>
        <w:bottom w:val="single" w:sz="6" w:space="2" w:color="918585"/>
      </w:pBdr>
      <w:tabs>
        <w:tab w:val="left" w:pos="1021"/>
      </w:tabs>
      <w:ind w:firstLine="0"/>
    </w:pPr>
  </w:style>
  <w:style w:type="paragraph" w:customStyle="1" w:styleId="Warning">
    <w:name w:val="Warning"/>
    <w:basedOn w:val="BodyText"/>
    <w:rsid w:val="00B71DDF"/>
    <w:pPr>
      <w:shd w:val="clear" w:color="auto" w:fill="D9D9D9"/>
      <w:tabs>
        <w:tab w:val="left" w:pos="992"/>
      </w:tabs>
      <w:ind w:left="119" w:right="119"/>
    </w:pPr>
    <w:rPr>
      <w:sz w:val="20"/>
    </w:rPr>
  </w:style>
  <w:style w:type="paragraph" w:customStyle="1" w:styleId="MarginIcons">
    <w:name w:val="Margin Icons"/>
    <w:basedOn w:val="BodyText"/>
    <w:rsid w:val="00B71D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1DDF"/>
    <w:rPr>
      <w:rFonts w:ascii="Courier New" w:hAnsi="Courier New"/>
    </w:rPr>
  </w:style>
  <w:style w:type="paragraph" w:customStyle="1" w:styleId="NoteBullet">
    <w:name w:val="Note Bullet"/>
    <w:basedOn w:val="Note"/>
    <w:rsid w:val="00B71DDF"/>
    <w:pPr>
      <w:tabs>
        <w:tab w:val="clear" w:pos="680"/>
      </w:tabs>
      <w:spacing w:before="60" w:after="60"/>
    </w:pPr>
  </w:style>
  <w:style w:type="paragraph" w:customStyle="1" w:styleId="SubHeading2">
    <w:name w:val="SubHeading2"/>
    <w:basedOn w:val="HeadingBase"/>
    <w:rsid w:val="00B71DDF"/>
    <w:pPr>
      <w:spacing w:before="240" w:after="60"/>
    </w:pPr>
    <w:rPr>
      <w:sz w:val="20"/>
    </w:rPr>
  </w:style>
  <w:style w:type="paragraph" w:customStyle="1" w:styleId="SubHeading1">
    <w:name w:val="SubHeading1"/>
    <w:basedOn w:val="HeadingBase"/>
    <w:rsid w:val="00B71DDF"/>
    <w:pPr>
      <w:spacing w:before="240" w:after="60"/>
    </w:pPr>
    <w:rPr>
      <w:color w:val="918585"/>
      <w:sz w:val="22"/>
    </w:rPr>
  </w:style>
  <w:style w:type="paragraph" w:customStyle="1" w:styleId="SideHeading">
    <w:name w:val="Side Heading"/>
    <w:basedOn w:val="HeadingBase"/>
    <w:rsid w:val="00B71D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1DDF"/>
    <w:pPr>
      <w:tabs>
        <w:tab w:val="num" w:pos="360"/>
      </w:tabs>
    </w:pPr>
  </w:style>
  <w:style w:type="paragraph" w:styleId="PlainText">
    <w:name w:val="Plain Text"/>
    <w:basedOn w:val="Normal"/>
    <w:link w:val="PlainTextChar"/>
    <w:rsid w:val="00B71DDF"/>
    <w:rPr>
      <w:sz w:val="20"/>
    </w:rPr>
  </w:style>
  <w:style w:type="character" w:customStyle="1" w:styleId="PlainTextChar">
    <w:name w:val="Plain Text Char"/>
    <w:basedOn w:val="DefaultParagraphFont"/>
    <w:link w:val="PlainText"/>
    <w:rsid w:val="00B71DDF"/>
    <w:rPr>
      <w:rFonts w:ascii="Courier New" w:eastAsia="Times New Roman" w:hAnsi="Courier New" w:cs="Times New Roman"/>
      <w:sz w:val="20"/>
      <w:szCs w:val="20"/>
      <w:lang w:eastAsia="en-US"/>
    </w:rPr>
  </w:style>
  <w:style w:type="character" w:customStyle="1" w:styleId="MenuOption">
    <w:name w:val="Menu Option"/>
    <w:basedOn w:val="DefaultParagraphFont"/>
    <w:rsid w:val="00B71DDF"/>
    <w:rPr>
      <w:b/>
      <w:smallCaps/>
    </w:rPr>
  </w:style>
  <w:style w:type="paragraph" w:customStyle="1" w:styleId="TableListNumber">
    <w:name w:val="Table List Number"/>
    <w:basedOn w:val="ListNumber"/>
    <w:rsid w:val="00B71DDF"/>
    <w:pPr>
      <w:numPr>
        <w:numId w:val="0"/>
      </w:numPr>
    </w:pPr>
  </w:style>
  <w:style w:type="paragraph" w:styleId="TOC4">
    <w:name w:val="toc 4"/>
    <w:basedOn w:val="TOCBase"/>
    <w:next w:val="Normal"/>
    <w:semiHidden/>
    <w:rsid w:val="00B71DDF"/>
    <w:pPr>
      <w:tabs>
        <w:tab w:val="right" w:leader="dot" w:pos="9071"/>
      </w:tabs>
      <w:ind w:left="1701"/>
    </w:pPr>
  </w:style>
  <w:style w:type="paragraph" w:customStyle="1" w:styleId="ListAlpha">
    <w:name w:val="List Alpha"/>
    <w:basedOn w:val="List"/>
    <w:rsid w:val="00B71DDF"/>
    <w:pPr>
      <w:numPr>
        <w:numId w:val="9"/>
      </w:numPr>
    </w:pPr>
  </w:style>
  <w:style w:type="paragraph" w:customStyle="1" w:styleId="ListAlpha2">
    <w:name w:val="List Alpha 2"/>
    <w:basedOn w:val="List2"/>
    <w:rsid w:val="00B71DDF"/>
    <w:pPr>
      <w:numPr>
        <w:numId w:val="8"/>
      </w:numPr>
    </w:pPr>
  </w:style>
  <w:style w:type="paragraph" w:styleId="List2">
    <w:name w:val="List 2"/>
    <w:basedOn w:val="BodyText"/>
    <w:rsid w:val="00B71DDF"/>
    <w:pPr>
      <w:tabs>
        <w:tab w:val="left" w:pos="680"/>
      </w:tabs>
      <w:spacing w:before="60" w:after="60"/>
      <w:ind w:left="680" w:hanging="340"/>
    </w:pPr>
  </w:style>
  <w:style w:type="paragraph" w:styleId="List3">
    <w:name w:val="List 3"/>
    <w:basedOn w:val="BodyText"/>
    <w:rsid w:val="00B71DDF"/>
    <w:pPr>
      <w:tabs>
        <w:tab w:val="left" w:pos="1021"/>
      </w:tabs>
      <w:spacing w:before="60" w:after="60"/>
      <w:ind w:left="1020" w:hanging="340"/>
    </w:pPr>
  </w:style>
  <w:style w:type="paragraph" w:styleId="List4">
    <w:name w:val="List 4"/>
    <w:basedOn w:val="BodyText"/>
    <w:rsid w:val="00B71DDF"/>
    <w:pPr>
      <w:tabs>
        <w:tab w:val="left" w:pos="1361"/>
      </w:tabs>
      <w:spacing w:before="60" w:after="60"/>
      <w:ind w:left="1361" w:hanging="340"/>
    </w:pPr>
  </w:style>
  <w:style w:type="paragraph" w:styleId="List5">
    <w:name w:val="List 5"/>
    <w:basedOn w:val="BodyText"/>
    <w:rsid w:val="00B71DDF"/>
    <w:pPr>
      <w:tabs>
        <w:tab w:val="left" w:pos="1701"/>
      </w:tabs>
      <w:spacing w:before="60" w:after="60"/>
      <w:ind w:left="1701" w:hanging="340"/>
    </w:pPr>
  </w:style>
  <w:style w:type="paragraph" w:styleId="ListBullet3">
    <w:name w:val="List Bullet 3"/>
    <w:basedOn w:val="List3"/>
    <w:rsid w:val="00B71DDF"/>
    <w:pPr>
      <w:numPr>
        <w:numId w:val="14"/>
      </w:numPr>
      <w:tabs>
        <w:tab w:val="clear" w:pos="1021"/>
      </w:tabs>
      <w:ind w:left="1037" w:hanging="357"/>
    </w:pPr>
  </w:style>
  <w:style w:type="paragraph" w:styleId="ListBullet4">
    <w:name w:val="List Bullet 4"/>
    <w:basedOn w:val="List4"/>
    <w:rsid w:val="00B71DDF"/>
    <w:pPr>
      <w:numPr>
        <w:numId w:val="3"/>
      </w:numPr>
      <w:tabs>
        <w:tab w:val="clear" w:pos="1361"/>
      </w:tabs>
    </w:pPr>
  </w:style>
  <w:style w:type="paragraph" w:styleId="ListBullet5">
    <w:name w:val="List Bullet 5"/>
    <w:basedOn w:val="List5"/>
    <w:rsid w:val="00B71DDF"/>
    <w:pPr>
      <w:numPr>
        <w:numId w:val="4"/>
      </w:numPr>
    </w:pPr>
  </w:style>
  <w:style w:type="paragraph" w:styleId="ListContinue2">
    <w:name w:val="List Continue 2"/>
    <w:basedOn w:val="List2"/>
    <w:rsid w:val="00B71DDF"/>
    <w:pPr>
      <w:ind w:firstLine="0"/>
    </w:pPr>
  </w:style>
  <w:style w:type="paragraph" w:styleId="ListContinue3">
    <w:name w:val="List Continue 3"/>
    <w:basedOn w:val="List3"/>
    <w:rsid w:val="00B71DDF"/>
    <w:pPr>
      <w:ind w:left="1021" w:firstLine="0"/>
    </w:pPr>
  </w:style>
  <w:style w:type="paragraph" w:styleId="ListContinue4">
    <w:name w:val="List Continue 4"/>
    <w:basedOn w:val="List4"/>
    <w:rsid w:val="00B71DDF"/>
    <w:pPr>
      <w:ind w:firstLine="0"/>
    </w:pPr>
  </w:style>
  <w:style w:type="paragraph" w:styleId="ListContinue5">
    <w:name w:val="List Continue 5"/>
    <w:basedOn w:val="List5"/>
    <w:rsid w:val="00B71DDF"/>
    <w:pPr>
      <w:ind w:firstLine="0"/>
    </w:pPr>
  </w:style>
  <w:style w:type="paragraph" w:styleId="ListNumber3">
    <w:name w:val="List Number 3"/>
    <w:basedOn w:val="List3"/>
    <w:rsid w:val="00B71DDF"/>
    <w:pPr>
      <w:numPr>
        <w:numId w:val="5"/>
      </w:numPr>
    </w:pPr>
  </w:style>
  <w:style w:type="paragraph" w:styleId="ListNumber4">
    <w:name w:val="List Number 4"/>
    <w:basedOn w:val="List4"/>
    <w:rsid w:val="00B71DDF"/>
    <w:pPr>
      <w:numPr>
        <w:numId w:val="6"/>
      </w:numPr>
    </w:pPr>
  </w:style>
  <w:style w:type="paragraph" w:styleId="ListNumber5">
    <w:name w:val="List Number 5"/>
    <w:basedOn w:val="List5"/>
    <w:rsid w:val="00B71DDF"/>
    <w:pPr>
      <w:numPr>
        <w:numId w:val="7"/>
      </w:numPr>
    </w:pPr>
  </w:style>
  <w:style w:type="paragraph" w:styleId="BlockText">
    <w:name w:val="Block Text"/>
    <w:basedOn w:val="Normal"/>
    <w:rsid w:val="00B71DDF"/>
    <w:pPr>
      <w:spacing w:after="120"/>
      <w:ind w:left="1440" w:right="1440"/>
    </w:pPr>
  </w:style>
  <w:style w:type="character" w:customStyle="1" w:styleId="Subscript">
    <w:name w:val="Subscript"/>
    <w:basedOn w:val="DefaultParagraphFont"/>
    <w:rsid w:val="00B71DDF"/>
    <w:rPr>
      <w:sz w:val="16"/>
      <w:vertAlign w:val="subscript"/>
    </w:rPr>
  </w:style>
  <w:style w:type="character" w:customStyle="1" w:styleId="Superscript">
    <w:name w:val="Superscript"/>
    <w:basedOn w:val="DefaultParagraphFont"/>
    <w:rsid w:val="00B71DDF"/>
    <w:rPr>
      <w:sz w:val="16"/>
      <w:vertAlign w:val="superscript"/>
    </w:rPr>
  </w:style>
  <w:style w:type="character" w:customStyle="1" w:styleId="Symbols">
    <w:name w:val="Symbols"/>
    <w:basedOn w:val="DefaultParagraphFont"/>
    <w:rsid w:val="00B71DDF"/>
    <w:rPr>
      <w:rFonts w:ascii="Symbol" w:hAnsi="Symbol"/>
    </w:rPr>
  </w:style>
  <w:style w:type="character" w:customStyle="1" w:styleId="MenuOptions">
    <w:name w:val="Menu Options"/>
    <w:basedOn w:val="DefaultParagraphFont"/>
    <w:rsid w:val="00B71DDF"/>
    <w:rPr>
      <w:rFonts w:ascii="Arial Narrow" w:hAnsi="Arial Narrow"/>
      <w:smallCaps/>
    </w:rPr>
  </w:style>
  <w:style w:type="character" w:customStyle="1" w:styleId="Buttons">
    <w:name w:val="Buttons"/>
    <w:basedOn w:val="DefaultParagraphFont"/>
    <w:rsid w:val="00B71DDF"/>
    <w:rPr>
      <w:b/>
    </w:rPr>
  </w:style>
  <w:style w:type="character" w:customStyle="1" w:styleId="Underlined">
    <w:name w:val="Underlined"/>
    <w:basedOn w:val="DefaultParagraphFont"/>
    <w:rsid w:val="00B71DDF"/>
    <w:rPr>
      <w:u w:val="single"/>
    </w:rPr>
  </w:style>
  <w:style w:type="paragraph" w:customStyle="1" w:styleId="TableBodyTextRight">
    <w:name w:val="Table Body Text Right"/>
    <w:basedOn w:val="TableBodyText"/>
    <w:rsid w:val="00B71DDF"/>
    <w:pPr>
      <w:widowControl w:val="0"/>
      <w:autoSpaceDE w:val="0"/>
      <w:autoSpaceDN w:val="0"/>
      <w:adjustRightInd w:val="0"/>
      <w:jc w:val="right"/>
    </w:pPr>
    <w:rPr>
      <w:rFonts w:cs="Arial"/>
      <w:szCs w:val="18"/>
    </w:rPr>
  </w:style>
  <w:style w:type="paragraph" w:customStyle="1" w:styleId="CopyrightText">
    <w:name w:val="Copyright Text"/>
    <w:basedOn w:val="BodyText"/>
    <w:rsid w:val="00B71DDF"/>
    <w:rPr>
      <w:sz w:val="18"/>
    </w:rPr>
  </w:style>
  <w:style w:type="paragraph" w:customStyle="1" w:styleId="BodySmallRight">
    <w:name w:val="Body Small Right"/>
    <w:basedOn w:val="BodyTextRight"/>
    <w:rsid w:val="00B71DDF"/>
    <w:rPr>
      <w:sz w:val="18"/>
      <w:szCs w:val="18"/>
    </w:rPr>
  </w:style>
  <w:style w:type="paragraph" w:customStyle="1" w:styleId="MarginEdition">
    <w:name w:val="Margin Edition"/>
    <w:basedOn w:val="MarginNote"/>
    <w:rsid w:val="00B71DDF"/>
    <w:pPr>
      <w:spacing w:before="0" w:after="0"/>
    </w:pPr>
    <w:rPr>
      <w:rFonts w:ascii="Times New Roman" w:hAnsi="Times New Roman"/>
      <w:color w:val="999999"/>
    </w:rPr>
  </w:style>
  <w:style w:type="paragraph" w:customStyle="1" w:styleId="Spacer">
    <w:name w:val="Spacer"/>
    <w:basedOn w:val="Normal"/>
    <w:rsid w:val="00B71DDF"/>
    <w:rPr>
      <w:sz w:val="2"/>
      <w:szCs w:val="2"/>
    </w:rPr>
  </w:style>
  <w:style w:type="character" w:customStyle="1" w:styleId="Small">
    <w:name w:val="Small"/>
    <w:basedOn w:val="DefaultParagraphFont"/>
    <w:rsid w:val="00B71DDF"/>
    <w:rPr>
      <w:sz w:val="16"/>
    </w:rPr>
  </w:style>
  <w:style w:type="paragraph" w:customStyle="1" w:styleId="WideTable">
    <w:name w:val="Wide Table"/>
    <w:basedOn w:val="Normal"/>
    <w:rsid w:val="00B71DDF"/>
    <w:pPr>
      <w:ind w:left="-1418"/>
    </w:pPr>
    <w:rPr>
      <w:sz w:val="2"/>
      <w:szCs w:val="2"/>
    </w:rPr>
  </w:style>
  <w:style w:type="character" w:styleId="PageNumber">
    <w:name w:val="page number"/>
    <w:basedOn w:val="DefaultParagraphFont"/>
    <w:rsid w:val="00B71DDF"/>
  </w:style>
  <w:style w:type="paragraph" w:styleId="Quote">
    <w:name w:val="Quote"/>
    <w:basedOn w:val="Heading1"/>
    <w:link w:val="QuoteChar"/>
    <w:qFormat/>
    <w:rsid w:val="00B71DDF"/>
    <w:rPr>
      <w:b w:val="0"/>
      <w:sz w:val="72"/>
      <w:szCs w:val="72"/>
      <w:lang w:val="en-NZ"/>
    </w:rPr>
  </w:style>
  <w:style w:type="character" w:customStyle="1" w:styleId="QuoteChar">
    <w:name w:val="Quote Char"/>
    <w:basedOn w:val="DefaultParagraphFont"/>
    <w:link w:val="Quote"/>
    <w:rsid w:val="00B71D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1DDF"/>
    <w:pPr>
      <w:pageBreakBefore/>
    </w:pPr>
  </w:style>
  <w:style w:type="paragraph" w:customStyle="1" w:styleId="Border">
    <w:name w:val="Border"/>
    <w:basedOn w:val="Normal"/>
    <w:qFormat/>
    <w:rsid w:val="00B71D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1DDF"/>
    <w:rPr>
      <w:b/>
      <w:bCs/>
      <w:i/>
      <w:iCs/>
      <w:color w:val="auto"/>
    </w:rPr>
  </w:style>
  <w:style w:type="paragraph" w:styleId="IntenseQuote">
    <w:name w:val="Intense Quote"/>
    <w:basedOn w:val="Normal"/>
    <w:next w:val="Normal"/>
    <w:link w:val="IntenseQuoteChar"/>
    <w:uiPriority w:val="30"/>
    <w:qFormat/>
    <w:rsid w:val="00B71D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1DD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71DDF"/>
    <w:rPr>
      <w:smallCaps/>
      <w:color w:val="auto"/>
      <w:u w:val="single"/>
    </w:rPr>
  </w:style>
  <w:style w:type="character" w:styleId="IntenseReference">
    <w:name w:val="Intense Reference"/>
    <w:basedOn w:val="DefaultParagraphFont"/>
    <w:uiPriority w:val="32"/>
    <w:qFormat/>
    <w:rsid w:val="00B71DDF"/>
    <w:rPr>
      <w:b/>
      <w:bCs/>
      <w:smallCaps/>
      <w:color w:val="auto"/>
      <w:spacing w:val="5"/>
      <w:u w:val="single"/>
    </w:rPr>
  </w:style>
  <w:style w:type="paragraph" w:customStyle="1" w:styleId="2ColumnHeading">
    <w:name w:val="2Column Heading"/>
    <w:basedOn w:val="BodyText"/>
    <w:qFormat/>
    <w:rsid w:val="00B71DDF"/>
    <w:pPr>
      <w:spacing w:after="60"/>
      <w:ind w:left="-2268"/>
    </w:pPr>
    <w:rPr>
      <w:b/>
    </w:rPr>
  </w:style>
  <w:style w:type="paragraph" w:customStyle="1" w:styleId="Heading1TOC">
    <w:name w:val="Heading1 TOC"/>
    <w:basedOn w:val="Normal"/>
    <w:qFormat/>
    <w:rsid w:val="00B71DDF"/>
    <w:pPr>
      <w:spacing w:before="240" w:after="120"/>
    </w:pPr>
    <w:rPr>
      <w:rFonts w:ascii="Times New Roman" w:hAnsi="Times New Roman"/>
      <w:b/>
      <w:sz w:val="32"/>
    </w:rPr>
  </w:style>
  <w:style w:type="paragraph" w:customStyle="1" w:styleId="Heading2TOC">
    <w:name w:val="Heading2 TOC"/>
    <w:basedOn w:val="Normal"/>
    <w:qFormat/>
    <w:rsid w:val="00B71DDF"/>
    <w:pPr>
      <w:spacing w:before="240" w:after="60"/>
    </w:pPr>
    <w:rPr>
      <w:rFonts w:ascii="Times New Roman" w:hAnsi="Times New Roman"/>
      <w:b/>
      <w:sz w:val="28"/>
    </w:rPr>
  </w:style>
  <w:style w:type="character" w:customStyle="1" w:styleId="Underline">
    <w:name w:val="Underline"/>
    <w:basedOn w:val="DefaultParagraphFont"/>
    <w:qFormat/>
    <w:rsid w:val="00B71DDF"/>
    <w:rPr>
      <w:u w:val="single"/>
    </w:rPr>
  </w:style>
  <w:style w:type="character" w:customStyle="1" w:styleId="BoldandItalics">
    <w:name w:val="Bold and Italics"/>
    <w:qFormat/>
    <w:rsid w:val="00B71DDF"/>
    <w:rPr>
      <w:b/>
      <w:i/>
      <w:u w:val="none"/>
    </w:rPr>
  </w:style>
  <w:style w:type="paragraph" w:styleId="BalloonText">
    <w:name w:val="Balloon Text"/>
    <w:basedOn w:val="Normal"/>
    <w:link w:val="BalloonTextChar"/>
    <w:rsid w:val="00B71DDF"/>
    <w:rPr>
      <w:rFonts w:ascii="Tahoma" w:hAnsi="Tahoma" w:cs="Tahoma"/>
      <w:sz w:val="16"/>
      <w:szCs w:val="16"/>
    </w:rPr>
  </w:style>
  <w:style w:type="character" w:customStyle="1" w:styleId="BalloonTextChar">
    <w:name w:val="Balloon Text Char"/>
    <w:basedOn w:val="DefaultParagraphFont"/>
    <w:link w:val="BalloonText"/>
    <w:rsid w:val="00B71DD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71DD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71DD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71DDF"/>
    <w:rPr>
      <w:b/>
      <w:color w:val="660033"/>
      <w:spacing w:val="0"/>
    </w:rPr>
  </w:style>
  <w:style w:type="paragraph" w:customStyle="1" w:styleId="Nameditemlist">
    <w:name w:val="Named item list"/>
    <w:basedOn w:val="BodyText"/>
    <w:qFormat/>
    <w:rsid w:val="00B71DDF"/>
    <w:pPr>
      <w:tabs>
        <w:tab w:val="left" w:pos="2835"/>
      </w:tabs>
      <w:ind w:left="2835" w:hanging="2835"/>
    </w:pPr>
  </w:style>
  <w:style w:type="paragraph" w:customStyle="1" w:styleId="BodyTextnopadding">
    <w:name w:val="Body Text no padding"/>
    <w:basedOn w:val="BodyText"/>
    <w:qFormat/>
    <w:rsid w:val="00B71DDF"/>
    <w:pPr>
      <w:spacing w:before="0" w:after="0"/>
    </w:pPr>
  </w:style>
  <w:style w:type="character" w:styleId="Hyperlink">
    <w:name w:val="Hyperlink"/>
    <w:basedOn w:val="DefaultParagraphFont"/>
    <w:uiPriority w:val="99"/>
    <w:unhideWhenUsed/>
    <w:rsid w:val="0097587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590</Words>
  <Characters>3903</Characters>
  <Application>Microsoft Office Word</Application>
  <DocSecurity>0</DocSecurity>
  <Lines>118</Lines>
  <Paragraphs>99</Paragraphs>
  <ScaleCrop>false</ScaleCrop>
  <Company>Author-it Software Corporation Ltd.</Company>
  <LinksUpToDate>false</LinksUpToDate>
  <CharactersWithSpaces>4394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FWPCOT3314 Comply with soil and water protection</dc:title>
  <dc:subject>Approved</dc:subject>
  <dc:creator>Skills Insight</dc:creator>
  <cp:keywords>Release: 1</cp:keywords>
  <dc:description>Review Date: 12 April 2008</dc:description>
  <cp:lastModifiedBy>HSD_TPCMSd.prod</cp:lastModifiedBy>
  <cp:revision>3</cp:revision>
  <dcterms:created xsi:type="dcterms:W3CDTF">2025-02-11T07:20:00Z</dcterms:created>
  <dcterms:modified xsi:type="dcterms:W3CDTF">2025-02-11T07:20:00Z</dcterms:modified>
</cp:coreProperties>
</file>