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5A8" w:rsidP="00073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FWPCOT3313 Apply biodiversity protection principles</w:t>
      </w:r>
      <w:r>
        <w:fldChar w:fldCharType="end"/>
      </w:r>
    </w:p>
    <w:p w:rsidR="000735A8" w:rsidP="000735A8">
      <w:pPr>
        <w:pStyle w:val="Version"/>
        <w:sectPr w:rsidSect="006E4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EC7" w:rsidP="006E4EC7">
      <w:pPr>
        <w:pStyle w:val="SuperHeading"/>
      </w:pPr>
      <w:r w:rsidRPr="006E4EC7">
        <w:t>Assessment Requirements for FWPCOT3313 Apply biodiversity protection principles</w:t>
      </w:r>
    </w:p>
    <w:p w:rsidR="00000000" w:rsidRPr="006E4EC7" w:rsidP="006E4EC7">
      <w:pPr>
        <w:pStyle w:val="Heading1"/>
      </w:pPr>
      <w:bookmarkStart w:id="1" w:name="O_1101782"/>
      <w:bookmarkEnd w:id="1"/>
      <w:r w:rsidRPr="006E4E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4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C7">
            <w:pPr>
              <w:pStyle w:val="BodyTextBold"/>
              <w:rPr>
                <w:lang w:val="en-NZ"/>
              </w:rPr>
            </w:pPr>
            <w:r w:rsidRPr="006E4EC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C7">
            <w:pPr>
              <w:pStyle w:val="BodyTextBold"/>
              <w:rPr>
                <w:lang w:val="en-NZ"/>
              </w:rPr>
            </w:pPr>
            <w:r w:rsidRPr="006E4EC7">
              <w:t>Comments</w:t>
            </w:r>
          </w:p>
        </w:tc>
      </w:tr>
      <w:tr w:rsidTr="006E4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EC7">
            <w:pPr>
              <w:pStyle w:val="BodyText"/>
              <w:rPr>
                <w:lang w:val="en-NZ"/>
              </w:rPr>
            </w:pPr>
            <w:r w:rsidRPr="006E4EC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EC7" w:rsidP="006E4EC7">
            <w:pPr>
              <w:pStyle w:val="BodyText"/>
            </w:pPr>
            <w:r w:rsidRPr="006E4EC7">
              <w:t>This version released with FWP Forest and Wood Products Training Package Version 6.0.</w:t>
            </w:r>
          </w:p>
        </w:tc>
      </w:tr>
    </w:tbl>
    <w:p w:rsidR="00000000" w:rsidRPr="006E4EC7" w:rsidP="006E4EC7">
      <w:pPr>
        <w:pStyle w:val="BodyText"/>
      </w:pPr>
    </w:p>
    <w:p w:rsidR="00000000" w:rsidRPr="006E4EC7" w:rsidP="006E4EC7">
      <w:pPr>
        <w:pStyle w:val="AllowPageBreak"/>
      </w:pPr>
    </w:p>
    <w:p w:rsidR="00000000" w:rsidRPr="006E4EC7" w:rsidP="006E4EC7">
      <w:pPr>
        <w:pStyle w:val="Heading1"/>
      </w:pPr>
      <w:bookmarkStart w:id="2" w:name="O_1101783"/>
      <w:bookmarkEnd w:id="2"/>
      <w:r w:rsidRPr="006E4EC7">
        <w:t>Performance Evidence</w:t>
      </w:r>
    </w:p>
    <w:p w:rsidR="00000000" w:rsidRPr="006E4EC7" w:rsidP="000735A8">
      <w:pPr>
        <w:pStyle w:val="BodyText"/>
      </w:pPr>
      <w:r w:rsidRPr="006E4EC7">
        <w:t>An individual demonstrating competency must satisfy all of the elements and performance criteria in this unit.</w:t>
      </w:r>
    </w:p>
    <w:p w:rsidR="00000000" w:rsidRPr="006E4EC7" w:rsidP="000735A8">
      <w:pPr>
        <w:pStyle w:val="BodyText"/>
      </w:pPr>
      <w:r w:rsidRPr="006E4EC7">
        <w:t>There must be evidence that the individual has:</w:t>
      </w:r>
    </w:p>
    <w:p w:rsidR="00000000" w:rsidRPr="006E4EC7" w:rsidP="006E4EC7">
      <w:pPr>
        <w:pStyle w:val="ListBullet"/>
      </w:pPr>
      <w:r w:rsidRPr="006E4EC7">
        <w:t xml:space="preserve">implemented biodiversity protection procedures in an operational forest on </w:t>
      </w:r>
      <w:r w:rsidRPr="006E4EC7">
        <w:t>one occasion</w:t>
      </w:r>
    </w:p>
    <w:p w:rsidR="00000000" w:rsidRPr="006E4EC7" w:rsidP="006E4EC7">
      <w:pPr>
        <w:pStyle w:val="ListBullet"/>
      </w:pPr>
      <w:r w:rsidRPr="006E4EC7">
        <w:t>followed workplace policies and procedures, current legislation, regulations and related industry standards and codes of practice applicable to biodiversity protection in operational forest environments</w:t>
      </w:r>
    </w:p>
    <w:p w:rsidR="00000000" w:rsidRPr="006E4EC7" w:rsidP="006E4EC7">
      <w:pPr>
        <w:pStyle w:val="ListBullet"/>
      </w:pPr>
      <w:r w:rsidRPr="006E4EC7">
        <w:t>monitored work practices in one operational forest for consistency with biodiversity principles, and made at least one recommendation on ways of improving work practices to enhance biodiversity protection.</w:t>
      </w:r>
    </w:p>
    <w:p w:rsidR="00000000" w:rsidRPr="006E4EC7" w:rsidP="006E4EC7">
      <w:pPr>
        <w:pStyle w:val="AllowPageBreak"/>
      </w:pPr>
    </w:p>
    <w:p w:rsidR="00000000" w:rsidRPr="006E4EC7" w:rsidP="006E4EC7">
      <w:pPr>
        <w:pStyle w:val="Heading1"/>
      </w:pPr>
      <w:bookmarkStart w:id="3" w:name="O_1101784"/>
      <w:bookmarkEnd w:id="3"/>
      <w:r w:rsidRPr="006E4EC7">
        <w:t>Knowledge Evidence</w:t>
      </w:r>
    </w:p>
    <w:p w:rsidR="00000000" w:rsidRPr="006E4EC7" w:rsidP="000735A8">
      <w:pPr>
        <w:pStyle w:val="BodyText"/>
      </w:pPr>
      <w:r w:rsidRPr="006E4EC7">
        <w:t>An individua</w:t>
      </w:r>
      <w:r w:rsidRPr="006E4EC7">
        <w:t>l must be able to demonstrate the knowledge required to perform the tasks outlined in the elements and performance criteria of this unit. This includes knowledge of:</w:t>
      </w:r>
    </w:p>
    <w:p w:rsidR="00000000" w:rsidRPr="006E4EC7" w:rsidP="006E4EC7">
      <w:pPr>
        <w:pStyle w:val="ListBullet"/>
      </w:pPr>
      <w:r w:rsidRPr="006E4EC7">
        <w:t>applicable regulatory and legal requirements that affect forest operations in relation to</w:t>
      </w:r>
      <w:r w:rsidRPr="006E4EC7">
        <w:t xml:space="preserve"> ecological and biodiversity protection:</w:t>
      </w:r>
    </w:p>
    <w:p w:rsidR="00000000" w:rsidRPr="006E4EC7" w:rsidP="006E4EC7">
      <w:pPr>
        <w:pStyle w:val="ListBullet2"/>
      </w:pPr>
      <w:r w:rsidRPr="006E4EC7">
        <w:t>Environment Protection and Biodiversity Conservation Act 1999 (the EPBC Act)</w:t>
      </w:r>
    </w:p>
    <w:p w:rsidR="00000000" w:rsidRPr="006E4EC7" w:rsidP="006E4EC7">
      <w:pPr>
        <w:pStyle w:val="ListBullet2"/>
      </w:pPr>
      <w:r w:rsidRPr="006E4EC7">
        <w:t>Threatened Species Conservation Act</w:t>
      </w:r>
    </w:p>
    <w:p w:rsidR="00000000" w:rsidRPr="006E4EC7" w:rsidP="006E4EC7">
      <w:pPr>
        <w:pStyle w:val="ListBullet2"/>
      </w:pPr>
      <w:r w:rsidRPr="006E4EC7">
        <w:t>Native Vegetation Act</w:t>
      </w:r>
    </w:p>
    <w:p w:rsidR="00000000" w:rsidRPr="006E4EC7" w:rsidP="006E4EC7">
      <w:pPr>
        <w:pStyle w:val="ListBullet2"/>
      </w:pPr>
      <w:r w:rsidRPr="006E4EC7">
        <w:t>native forest legislation</w:t>
      </w:r>
    </w:p>
    <w:p w:rsidR="00000000" w:rsidRPr="006E4EC7" w:rsidP="006E4EC7">
      <w:pPr>
        <w:pStyle w:val="ListBullet2"/>
      </w:pPr>
      <w:r w:rsidRPr="006E4EC7">
        <w:t>private native forest codes</w:t>
      </w:r>
    </w:p>
    <w:p w:rsidR="00000000" w:rsidRPr="006E4EC7" w:rsidP="006E4EC7">
      <w:pPr>
        <w:pStyle w:val="ListBullet2"/>
      </w:pPr>
      <w:r w:rsidRPr="006E4EC7">
        <w:t>forest operational plans</w:t>
      </w:r>
    </w:p>
    <w:p w:rsidR="00000000" w:rsidRPr="006E4EC7" w:rsidP="006E4EC7">
      <w:pPr>
        <w:pStyle w:val="ListBullet2"/>
      </w:pPr>
      <w:r w:rsidRPr="006E4EC7">
        <w:t>environmental legislation, policy and procedures</w:t>
      </w:r>
    </w:p>
    <w:p w:rsidR="00000000" w:rsidRPr="006E4EC7" w:rsidP="006E4EC7">
      <w:pPr>
        <w:pStyle w:val="ListBullet2"/>
      </w:pPr>
      <w:r w:rsidRPr="006E4EC7">
        <w:t>environmental planning and assessment</w:t>
      </w:r>
    </w:p>
    <w:p w:rsidR="00000000" w:rsidRPr="006E4EC7" w:rsidP="006E4EC7">
      <w:pPr>
        <w:pStyle w:val="ListBullet2"/>
      </w:pPr>
      <w:r w:rsidRPr="006E4EC7">
        <w:t>specific site environmental management plans</w:t>
      </w:r>
    </w:p>
    <w:p w:rsidR="00000000" w:rsidRPr="006E4EC7" w:rsidP="006E4EC7">
      <w:pPr>
        <w:pStyle w:val="ListBullet2"/>
      </w:pPr>
      <w:r w:rsidRPr="006E4EC7">
        <w:t>relevant codes of practice</w:t>
      </w:r>
    </w:p>
    <w:p w:rsidR="00000000" w:rsidRPr="006E4EC7" w:rsidP="006E4EC7">
      <w:pPr>
        <w:pStyle w:val="ListBullet2"/>
      </w:pPr>
      <w:r w:rsidRPr="006E4EC7">
        <w:t>water catchment management</w:t>
      </w:r>
    </w:p>
    <w:p w:rsidR="00000000" w:rsidRPr="006E4EC7" w:rsidP="006E4EC7">
      <w:pPr>
        <w:pStyle w:val="ListBullet2"/>
      </w:pPr>
      <w:r w:rsidRPr="006E4EC7">
        <w:t>surface and ground water conservation requirements</w:t>
      </w:r>
    </w:p>
    <w:p w:rsidR="00000000" w:rsidRPr="006E4EC7" w:rsidP="006E4EC7">
      <w:pPr>
        <w:pStyle w:val="ListBullet2"/>
      </w:pPr>
      <w:r w:rsidRPr="006E4EC7">
        <w:t>relevant Australian standards and industry standards</w:t>
      </w:r>
    </w:p>
    <w:p w:rsidR="00000000" w:rsidRPr="006E4EC7" w:rsidP="006E4EC7">
      <w:pPr>
        <w:pStyle w:val="ListBullet2"/>
      </w:pPr>
      <w:r w:rsidRPr="006E4EC7">
        <w:t>hazard reduction policy and procedures</w:t>
      </w:r>
    </w:p>
    <w:p w:rsidR="00000000" w:rsidRPr="006E4EC7" w:rsidP="006E4EC7">
      <w:pPr>
        <w:pStyle w:val="ListBullet2"/>
      </w:pPr>
      <w:r w:rsidRPr="006E4EC7">
        <w:t>plantation legislation</w:t>
      </w:r>
    </w:p>
    <w:p w:rsidR="00000000" w:rsidRPr="006E4EC7" w:rsidP="006E4EC7">
      <w:pPr>
        <w:pStyle w:val="ListBullet2"/>
      </w:pPr>
      <w:r w:rsidRPr="006E4EC7">
        <w:t>plantation and reforestation code</w:t>
      </w:r>
    </w:p>
    <w:p w:rsidR="00000000" w:rsidRPr="006E4EC7" w:rsidP="006E4EC7">
      <w:pPr>
        <w:pStyle w:val="ListBullet2"/>
      </w:pPr>
      <w:r w:rsidRPr="006E4EC7">
        <w:t>fisheries and fish passage</w:t>
      </w:r>
    </w:p>
    <w:p w:rsidR="00000000" w:rsidRPr="006E4EC7" w:rsidP="006E4EC7">
      <w:pPr>
        <w:pStyle w:val="ListBullet2"/>
      </w:pPr>
      <w:r w:rsidRPr="006E4EC7">
        <w:t>national parks and wildlife legislation</w:t>
      </w:r>
    </w:p>
    <w:p w:rsidR="00000000" w:rsidRPr="006E4EC7" w:rsidP="006E4EC7">
      <w:pPr>
        <w:pStyle w:val="ListBullet2"/>
      </w:pPr>
      <w:r w:rsidRPr="006E4EC7">
        <w:t>good neighbour policies</w:t>
      </w:r>
    </w:p>
    <w:p w:rsidR="00000000" w:rsidRPr="006E4EC7" w:rsidP="006E4EC7">
      <w:pPr>
        <w:pStyle w:val="ListBullet2"/>
      </w:pPr>
      <w:r w:rsidRPr="006E4EC7">
        <w:t>award and organi</w:t>
      </w:r>
      <w:r w:rsidRPr="006E4EC7">
        <w:t>sational agreements</w:t>
      </w:r>
    </w:p>
    <w:p w:rsidR="00000000" w:rsidRPr="006E4EC7" w:rsidP="006E4EC7">
      <w:pPr>
        <w:pStyle w:val="ListBullet2"/>
      </w:pPr>
      <w:r w:rsidRPr="006E4EC7">
        <w:t>heritage and traditional landowner</w:t>
      </w:r>
    </w:p>
    <w:p w:rsidR="00000000" w:rsidRPr="006E4EC7" w:rsidP="006E4EC7">
      <w:pPr>
        <w:pStyle w:val="ListBullet2"/>
      </w:pPr>
      <w:r w:rsidRPr="006E4EC7">
        <w:t>forest certification (Responsible Wood Certification Scheme and Australian Forestry Standard (AFS) certification)</w:t>
      </w:r>
    </w:p>
    <w:p w:rsidR="00000000" w:rsidRPr="006E4EC7" w:rsidP="006E4EC7">
      <w:pPr>
        <w:pStyle w:val="ListBullet"/>
      </w:pPr>
      <w:r w:rsidRPr="006E4EC7">
        <w:t>types or range of forest operational plans:</w:t>
      </w:r>
    </w:p>
    <w:p w:rsidR="00000000" w:rsidRPr="006E4EC7" w:rsidP="006E4EC7">
      <w:pPr>
        <w:pStyle w:val="ListBullet2"/>
      </w:pPr>
      <w:r w:rsidRPr="006E4EC7">
        <w:t>forest operations plan</w:t>
      </w:r>
    </w:p>
    <w:p w:rsidR="00000000" w:rsidRPr="006E4EC7" w:rsidP="006E4EC7">
      <w:pPr>
        <w:pStyle w:val="ListBullet2"/>
      </w:pPr>
      <w:r w:rsidRPr="006E4EC7">
        <w:t>harvesting plan</w:t>
      </w:r>
    </w:p>
    <w:p w:rsidR="00000000" w:rsidRPr="006E4EC7" w:rsidP="006E4EC7">
      <w:pPr>
        <w:pStyle w:val="ListBullet2"/>
      </w:pPr>
      <w:r w:rsidRPr="006E4EC7">
        <w:t>plantation establishment plan</w:t>
      </w:r>
    </w:p>
    <w:p w:rsidR="00000000" w:rsidRPr="006E4EC7" w:rsidP="006E4EC7">
      <w:pPr>
        <w:pStyle w:val="ListBullet2"/>
      </w:pPr>
      <w:r w:rsidRPr="006E4EC7">
        <w:t>coupe plan</w:t>
      </w:r>
    </w:p>
    <w:p w:rsidR="00000000" w:rsidRPr="006E4EC7" w:rsidP="006E4EC7">
      <w:pPr>
        <w:pStyle w:val="ListBullet2"/>
      </w:pPr>
      <w:r w:rsidRPr="006E4EC7">
        <w:t>roading plan</w:t>
      </w:r>
    </w:p>
    <w:p w:rsidR="00000000" w:rsidRPr="006E4EC7" w:rsidP="006E4EC7">
      <w:pPr>
        <w:pStyle w:val="ListBullet2"/>
      </w:pPr>
      <w:r w:rsidRPr="006E4EC7">
        <w:t>drainage plan</w:t>
      </w:r>
    </w:p>
    <w:p w:rsidR="00000000" w:rsidRPr="006E4EC7" w:rsidP="006E4EC7">
      <w:pPr>
        <w:pStyle w:val="ListBullet2"/>
      </w:pPr>
      <w:r w:rsidRPr="006E4EC7">
        <w:t>sediment and erosion control plan</w:t>
      </w:r>
    </w:p>
    <w:p w:rsidR="00000000" w:rsidRPr="006E4EC7" w:rsidP="006E4EC7">
      <w:pPr>
        <w:pStyle w:val="ListBullet"/>
      </w:pPr>
      <w:r w:rsidRPr="006E4EC7">
        <w:t>habitats, including any area or region local animals, plants or organisms may live or rely upon for food, water, shelter or breeding purposes:</w:t>
      </w:r>
    </w:p>
    <w:p w:rsidR="00000000" w:rsidRPr="006E4EC7" w:rsidP="006E4EC7">
      <w:pPr>
        <w:pStyle w:val="ListBullet2"/>
      </w:pPr>
      <w:r w:rsidRPr="006E4EC7">
        <w:t>habitat p</w:t>
      </w:r>
      <w:r w:rsidRPr="006E4EC7">
        <w:t>lants and trees (</w:t>
      </w:r>
      <w:r w:rsidRPr="006E4EC7">
        <w:rPr>
          <w:rStyle w:val="Emphasis"/>
        </w:rPr>
        <w:t>specific species, burrow, food, roost and nest)</w:t>
      </w:r>
    </w:p>
    <w:p w:rsidR="00000000" w:rsidRPr="006E4EC7" w:rsidP="006E4EC7">
      <w:pPr>
        <w:pStyle w:val="ListBullet2"/>
      </w:pPr>
      <w:r w:rsidRPr="006E4EC7">
        <w:t>recruitment trees</w:t>
      </w:r>
    </w:p>
    <w:p w:rsidR="00000000" w:rsidRPr="006E4EC7" w:rsidP="006E4EC7">
      <w:pPr>
        <w:pStyle w:val="ListBullet2"/>
      </w:pPr>
      <w:r w:rsidRPr="006E4EC7">
        <w:t>standing trees with hollows (dead and alive)</w:t>
      </w:r>
    </w:p>
    <w:p w:rsidR="00000000" w:rsidRPr="006E4EC7" w:rsidP="006E4EC7">
      <w:pPr>
        <w:pStyle w:val="ListBullet2"/>
      </w:pPr>
      <w:r w:rsidRPr="006E4EC7">
        <w:t xml:space="preserve">stags with roost sites </w:t>
      </w:r>
    </w:p>
    <w:p w:rsidR="00000000" w:rsidRPr="006E4EC7" w:rsidP="006E4EC7">
      <w:pPr>
        <w:pStyle w:val="ListBullet2"/>
      </w:pPr>
      <w:r w:rsidRPr="006E4EC7">
        <w:t>hollow logs</w:t>
      </w:r>
    </w:p>
    <w:p w:rsidR="00000000" w:rsidRPr="006E4EC7" w:rsidP="006E4EC7">
      <w:pPr>
        <w:pStyle w:val="ListBullet2"/>
      </w:pPr>
      <w:r w:rsidRPr="006E4EC7">
        <w:t>rocky outcrops</w:t>
      </w:r>
    </w:p>
    <w:p w:rsidR="00000000" w:rsidRPr="006E4EC7" w:rsidP="006E4EC7">
      <w:pPr>
        <w:pStyle w:val="ListBullet2"/>
      </w:pPr>
      <w:r w:rsidRPr="006E4EC7">
        <w:t>rock overhangs</w:t>
      </w:r>
    </w:p>
    <w:p w:rsidR="00000000" w:rsidRPr="006E4EC7" w:rsidP="006E4EC7">
      <w:pPr>
        <w:pStyle w:val="ListBullet2"/>
      </w:pPr>
      <w:r w:rsidRPr="006E4EC7">
        <w:t>caves</w:t>
      </w:r>
    </w:p>
    <w:p w:rsidR="00000000" w:rsidRPr="006E4EC7" w:rsidP="006E4EC7">
      <w:pPr>
        <w:pStyle w:val="ListBullet2"/>
      </w:pPr>
      <w:r w:rsidRPr="006E4EC7">
        <w:t>soil mounds</w:t>
      </w:r>
    </w:p>
    <w:p w:rsidR="00000000" w:rsidRPr="006E4EC7" w:rsidP="006E4EC7">
      <w:pPr>
        <w:pStyle w:val="ListBullet2"/>
      </w:pPr>
      <w:r w:rsidRPr="006E4EC7">
        <w:t>creeks, springs or river banks</w:t>
      </w:r>
    </w:p>
    <w:p w:rsidR="00000000" w:rsidRPr="006E4EC7" w:rsidP="006E4EC7">
      <w:pPr>
        <w:pStyle w:val="ListBullet2"/>
      </w:pPr>
      <w:r w:rsidRPr="006E4EC7">
        <w:t>sheltered valleys or canyons</w:t>
      </w:r>
    </w:p>
    <w:p w:rsidR="00000000" w:rsidRPr="006E4EC7" w:rsidP="006E4EC7">
      <w:pPr>
        <w:pStyle w:val="ListBullet2"/>
      </w:pPr>
      <w:r w:rsidRPr="006E4EC7">
        <w:t>wetlands</w:t>
      </w:r>
    </w:p>
    <w:p w:rsidR="00000000" w:rsidRPr="006E4EC7" w:rsidP="006E4EC7">
      <w:pPr>
        <w:pStyle w:val="ListBullet"/>
      </w:pPr>
      <w:r w:rsidRPr="006E4EC7">
        <w:t>any other site, feature or zone listed as habitat or potential habitat</w:t>
      </w:r>
    </w:p>
    <w:p w:rsidR="00000000" w:rsidRPr="006E4EC7" w:rsidP="006E4EC7">
      <w:pPr>
        <w:pStyle w:val="ListBullet"/>
      </w:pPr>
      <w:r w:rsidRPr="006E4EC7">
        <w:t>threatened and endangered plant and animal species</w:t>
      </w:r>
    </w:p>
    <w:p w:rsidR="00000000" w:rsidRPr="006E4EC7" w:rsidP="006E4EC7">
      <w:pPr>
        <w:pStyle w:val="ListBullet"/>
      </w:pPr>
      <w:r w:rsidRPr="006E4EC7">
        <w:t>protection zones and protection zone methods where operational conditions are varied by prescri</w:t>
      </w:r>
      <w:r w:rsidRPr="006E4EC7">
        <w:t>ptions for the management of ecological and biodiversity values:</w:t>
      </w:r>
    </w:p>
    <w:p w:rsidR="00000000" w:rsidRPr="006E4EC7" w:rsidP="006E4EC7">
      <w:pPr>
        <w:pStyle w:val="ListBullet2"/>
      </w:pPr>
      <w:r w:rsidRPr="006E4EC7">
        <w:t>buffer zones</w:t>
      </w:r>
    </w:p>
    <w:p w:rsidR="00000000" w:rsidRPr="006E4EC7" w:rsidP="006E4EC7">
      <w:pPr>
        <w:pStyle w:val="ListBullet2"/>
      </w:pPr>
      <w:r w:rsidRPr="006E4EC7">
        <w:t>filter strips</w:t>
      </w:r>
    </w:p>
    <w:p w:rsidR="00000000" w:rsidRPr="006E4EC7" w:rsidP="006E4EC7">
      <w:pPr>
        <w:pStyle w:val="ListBullet2"/>
      </w:pPr>
      <w:r w:rsidRPr="006E4EC7">
        <w:t>riparian protection areas</w:t>
      </w:r>
    </w:p>
    <w:p w:rsidR="00000000" w:rsidRPr="006E4EC7" w:rsidP="006E4EC7">
      <w:pPr>
        <w:pStyle w:val="ListBullet2"/>
      </w:pPr>
      <w:r w:rsidRPr="006E4EC7">
        <w:t>exclusion zones</w:t>
      </w:r>
    </w:p>
    <w:p w:rsidR="00000000" w:rsidRPr="006E4EC7" w:rsidP="006E4EC7">
      <w:pPr>
        <w:pStyle w:val="ListBullet2"/>
      </w:pPr>
      <w:r w:rsidRPr="006E4EC7">
        <w:t>conservation management plan</w:t>
      </w:r>
    </w:p>
    <w:p w:rsidR="00000000" w:rsidRPr="006E4EC7" w:rsidP="006E4EC7">
      <w:pPr>
        <w:pStyle w:val="ListBullet"/>
      </w:pPr>
      <w:r w:rsidRPr="006E4EC7">
        <w:t>regulations, standards, codes of practice and established safe practices for ecological and</w:t>
      </w:r>
      <w:r w:rsidRPr="006E4EC7">
        <w:t xml:space="preserve"> biodiversity protection</w:t>
      </w:r>
    </w:p>
    <w:p w:rsidR="00000000" w:rsidRPr="006E4EC7" w:rsidP="006E4EC7">
      <w:pPr>
        <w:pStyle w:val="ListBullet"/>
      </w:pPr>
      <w:r w:rsidRPr="006E4EC7">
        <w:t>established communication channels and protocols for compliance with biodiversity protection principles</w:t>
      </w:r>
    </w:p>
    <w:p w:rsidR="00000000" w:rsidRPr="006E4EC7" w:rsidP="006E4EC7">
      <w:pPr>
        <w:pStyle w:val="ListBullet"/>
      </w:pPr>
      <w:r w:rsidRPr="006E4EC7">
        <w:t>procedures for recording and reporting workplace information related to biodiversity protection activities.</w:t>
      </w:r>
    </w:p>
    <w:p w:rsidR="00000000" w:rsidRPr="006E4EC7" w:rsidP="006E4EC7">
      <w:pPr>
        <w:pStyle w:val="AllowPageBreak"/>
      </w:pPr>
    </w:p>
    <w:p w:rsidR="00000000" w:rsidRPr="006E4EC7" w:rsidP="006E4EC7">
      <w:pPr>
        <w:pStyle w:val="Heading1"/>
      </w:pPr>
      <w:bookmarkStart w:id="4" w:name="O_1101785"/>
      <w:bookmarkEnd w:id="4"/>
      <w:r w:rsidRPr="006E4EC7">
        <w:t>Assessment Conditions</w:t>
      </w:r>
    </w:p>
    <w:p w:rsidR="00000000" w:rsidRPr="006E4EC7" w:rsidP="000735A8">
      <w:pPr>
        <w:pStyle w:val="BodyText"/>
      </w:pPr>
      <w:r w:rsidRPr="006E4EC7">
        <w:t xml:space="preserve">Assessment of the skills in this unit of competency must take place under the following conditions: </w:t>
      </w:r>
    </w:p>
    <w:p w:rsidR="00000000" w:rsidRPr="006E4EC7" w:rsidP="006E4EC7">
      <w:pPr>
        <w:pStyle w:val="ListBullet"/>
      </w:pPr>
      <w:r w:rsidRPr="006E4EC7">
        <w:t>physical conditions:</w:t>
      </w:r>
    </w:p>
    <w:p w:rsidR="00000000" w:rsidRPr="006E4EC7" w:rsidP="006E4EC7">
      <w:pPr>
        <w:pStyle w:val="ListBullet2"/>
      </w:pPr>
      <w:r w:rsidRPr="006E4EC7">
        <w:t>skills must be demonstrated in operational forest environments or an environment that accurately represents wo</w:t>
      </w:r>
      <w:r w:rsidRPr="006E4EC7">
        <w:t xml:space="preserve">rkplace conditions </w:t>
      </w:r>
    </w:p>
    <w:p w:rsidR="00000000" w:rsidRPr="006E4EC7" w:rsidP="006E4EC7">
      <w:pPr>
        <w:pStyle w:val="ListBullet"/>
      </w:pPr>
      <w:r w:rsidRPr="006E4EC7">
        <w:t>resources, equipment and materials:</w:t>
      </w:r>
    </w:p>
    <w:p w:rsidR="00000000" w:rsidRPr="006E4EC7" w:rsidP="006E4EC7">
      <w:pPr>
        <w:pStyle w:val="ListBullet2"/>
      </w:pPr>
      <w:r w:rsidRPr="006E4EC7">
        <w:t xml:space="preserve">personal protective equipment </w:t>
      </w:r>
    </w:p>
    <w:p w:rsidR="00000000" w:rsidRPr="006E4EC7" w:rsidP="006E4EC7">
      <w:pPr>
        <w:pStyle w:val="ListBullet2"/>
      </w:pPr>
      <w:r w:rsidRPr="006E4EC7">
        <w:t>communication system</w:t>
      </w:r>
    </w:p>
    <w:p w:rsidR="00000000" w:rsidRPr="006E4EC7" w:rsidP="006E4EC7">
      <w:pPr>
        <w:pStyle w:val="ListBullet"/>
      </w:pPr>
      <w:r w:rsidRPr="006E4EC7">
        <w:t>specifications:</w:t>
      </w:r>
    </w:p>
    <w:p w:rsidR="00000000" w:rsidRPr="006E4EC7" w:rsidP="006E4EC7">
      <w:pPr>
        <w:pStyle w:val="ListBullet2"/>
      </w:pPr>
      <w:r w:rsidRPr="006E4EC7">
        <w:t>access to workplace policies and procedures applicable to biodiversity protection operations</w:t>
      </w:r>
    </w:p>
    <w:p w:rsidR="00000000" w:rsidRPr="006E4EC7" w:rsidP="006E4EC7">
      <w:pPr>
        <w:pStyle w:val="ListBullet2"/>
      </w:pPr>
      <w:r w:rsidRPr="006E4EC7">
        <w:t xml:space="preserve">access to forest operational plans </w:t>
      </w:r>
    </w:p>
    <w:p w:rsidR="00000000" w:rsidRPr="006E4EC7" w:rsidP="006E4EC7">
      <w:pPr>
        <w:pStyle w:val="ListBullet2"/>
      </w:pPr>
      <w:r w:rsidRPr="006E4EC7">
        <w:t>access to workplace procedures and forms for recording biodiversity protection activities.</w:t>
      </w:r>
    </w:p>
    <w:p w:rsidR="00000000" w:rsidRPr="006E4EC7" w:rsidP="000735A8">
      <w:pPr>
        <w:pStyle w:val="BodyText"/>
      </w:pPr>
      <w:r w:rsidRPr="006E4EC7">
        <w:t>Assessors of this unit must satisfy the requirements for assessors in applicable vocational education and training legislation, frameworks and/or standards.</w:t>
      </w:r>
    </w:p>
    <w:p w:rsidR="00000000" w:rsidRPr="006E4EC7" w:rsidP="006E4EC7">
      <w:pPr>
        <w:pStyle w:val="Heading1"/>
      </w:pPr>
      <w:bookmarkStart w:id="5" w:name="O_1101788"/>
      <w:bookmarkEnd w:id="5"/>
      <w:r w:rsidRPr="006E4EC7">
        <w:t>Links</w:t>
      </w:r>
    </w:p>
    <w:p w:rsidR="00000000" w:rsidRPr="006E4EC7" w:rsidP="000735A8">
      <w:pPr>
        <w:pStyle w:val="BodyText"/>
      </w:pPr>
      <w:r w:rsidRPr="006E4E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18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E4EC7" w:rsidP="006E4EC7"/>
    <w:sectPr w:rsidSect="006E4E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7" w:rsidRPr="000735A8" w:rsidP="00073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A8" w:rsidP="006E4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5A8" w:rsidP="006E4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35A8" w:rsidP="006E4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EC7" w:rsidRPr="000735A8" w:rsidP="00073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A8" w:rsidRPr="002D2AF8" w:rsidP="006E4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FWPCOT3313 Apply biodiversity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735A8" w:rsidP="006E4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466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45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34B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EC7"/>
  </w:style>
  <w:style w:type="character" w:customStyle="1" w:styleId="Heading1Char">
    <w:name w:val="Heading 1 Char"/>
    <w:basedOn w:val="DefaultParagraphFont"/>
    <w:link w:val="Heading1"/>
    <w:rsid w:val="006E4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E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E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4EC7"/>
    <w:rPr>
      <w:i/>
    </w:rPr>
  </w:style>
  <w:style w:type="paragraph" w:customStyle="1" w:styleId="SuperHeading">
    <w:name w:val="SuperHeading"/>
    <w:basedOn w:val="Normal"/>
    <w:rsid w:val="006E4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E4EC7"/>
    <w:rPr>
      <w:b/>
    </w:rPr>
  </w:style>
  <w:style w:type="character" w:customStyle="1" w:styleId="Heading2Char">
    <w:name w:val="Heading 2 Char"/>
    <w:basedOn w:val="DefaultParagraphFont"/>
    <w:link w:val="Heading2"/>
    <w:rsid w:val="006E4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EC7"/>
    <w:rPr>
      <w:b/>
      <w:spacing w:val="0"/>
    </w:rPr>
  </w:style>
  <w:style w:type="paragraph" w:customStyle="1" w:styleId="SuperTitle">
    <w:name w:val="SuperTitle"/>
    <w:basedOn w:val="Title"/>
    <w:rsid w:val="006E4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EC7"/>
  </w:style>
  <w:style w:type="paragraph" w:styleId="TableofFigures">
    <w:name w:val="table of figures"/>
    <w:basedOn w:val="Normal"/>
    <w:next w:val="Normal"/>
    <w:semiHidden/>
    <w:rsid w:val="006E4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E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4EC7"/>
    <w:rPr>
      <w:rFonts w:ascii="Wingdings" w:hAnsi="Wingdings"/>
    </w:rPr>
  </w:style>
  <w:style w:type="paragraph" w:customStyle="1" w:styleId="TableHeading">
    <w:name w:val="Table Heading"/>
    <w:basedOn w:val="HeadingBase"/>
    <w:rsid w:val="006E4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EC7"/>
    <w:rPr>
      <w:color w:val="0033CC"/>
      <w:u w:val="none"/>
    </w:rPr>
  </w:style>
  <w:style w:type="paragraph" w:customStyle="1" w:styleId="BodyTextRight">
    <w:name w:val="Body Text Right"/>
    <w:basedOn w:val="BodyText"/>
    <w:rsid w:val="006E4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E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EC7"/>
    <w:rPr>
      <w:sz w:val="32"/>
    </w:rPr>
  </w:style>
  <w:style w:type="paragraph" w:customStyle="1" w:styleId="HeadingProcedure">
    <w:name w:val="Heading Procedure"/>
    <w:basedOn w:val="HeadingBase"/>
    <w:next w:val="Normal"/>
    <w:rsid w:val="006E4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EC7"/>
    <w:pPr>
      <w:spacing w:before="60" w:after="60"/>
    </w:pPr>
  </w:style>
  <w:style w:type="paragraph" w:styleId="ListContinue">
    <w:name w:val="List Continue"/>
    <w:basedOn w:val="List"/>
    <w:rsid w:val="006E4EC7"/>
    <w:pPr>
      <w:ind w:firstLine="0"/>
    </w:pPr>
  </w:style>
  <w:style w:type="paragraph" w:customStyle="1" w:styleId="ListNote">
    <w:name w:val="List Note"/>
    <w:basedOn w:val="List"/>
    <w:rsid w:val="006E4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EC7"/>
    <w:rPr>
      <w:rFonts w:ascii="Courier New" w:hAnsi="Courier New"/>
    </w:rPr>
  </w:style>
  <w:style w:type="paragraph" w:customStyle="1" w:styleId="NoteBullet">
    <w:name w:val="Note Bullet"/>
    <w:basedOn w:val="Note"/>
    <w:rsid w:val="006E4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E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EC7"/>
    <w:rPr>
      <w:b/>
      <w:smallCaps/>
    </w:rPr>
  </w:style>
  <w:style w:type="paragraph" w:customStyle="1" w:styleId="TableListNumber">
    <w:name w:val="Table List Number"/>
    <w:basedOn w:val="ListNumber"/>
    <w:rsid w:val="006E4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EC7"/>
    <w:pPr>
      <w:numPr>
        <w:numId w:val="9"/>
      </w:numPr>
    </w:pPr>
  </w:style>
  <w:style w:type="paragraph" w:customStyle="1" w:styleId="ListAlpha2">
    <w:name w:val="List Alpha 2"/>
    <w:basedOn w:val="List2"/>
    <w:rsid w:val="006E4EC7"/>
    <w:pPr>
      <w:numPr>
        <w:numId w:val="8"/>
      </w:numPr>
    </w:pPr>
  </w:style>
  <w:style w:type="paragraph" w:styleId="List2">
    <w:name w:val="List 2"/>
    <w:basedOn w:val="BodyText"/>
    <w:rsid w:val="006E4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E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E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4EC7"/>
    <w:pPr>
      <w:numPr>
        <w:numId w:val="4"/>
      </w:numPr>
    </w:pPr>
  </w:style>
  <w:style w:type="paragraph" w:styleId="ListContinue2">
    <w:name w:val="List Continue 2"/>
    <w:basedOn w:val="List2"/>
    <w:rsid w:val="006E4EC7"/>
    <w:pPr>
      <w:ind w:firstLine="0"/>
    </w:pPr>
  </w:style>
  <w:style w:type="paragraph" w:styleId="ListContinue3">
    <w:name w:val="List Continue 3"/>
    <w:basedOn w:val="List3"/>
    <w:rsid w:val="006E4EC7"/>
    <w:pPr>
      <w:ind w:left="1021" w:firstLine="0"/>
    </w:pPr>
  </w:style>
  <w:style w:type="paragraph" w:styleId="ListContinue4">
    <w:name w:val="List Continue 4"/>
    <w:basedOn w:val="List4"/>
    <w:rsid w:val="006E4EC7"/>
    <w:pPr>
      <w:ind w:firstLine="0"/>
    </w:pPr>
  </w:style>
  <w:style w:type="paragraph" w:styleId="ListContinue5">
    <w:name w:val="List Continue 5"/>
    <w:basedOn w:val="List5"/>
    <w:rsid w:val="006E4EC7"/>
    <w:pPr>
      <w:ind w:firstLine="0"/>
    </w:pPr>
  </w:style>
  <w:style w:type="paragraph" w:styleId="ListNumber3">
    <w:name w:val="List Number 3"/>
    <w:basedOn w:val="List3"/>
    <w:rsid w:val="006E4EC7"/>
    <w:pPr>
      <w:numPr>
        <w:numId w:val="5"/>
      </w:numPr>
    </w:pPr>
  </w:style>
  <w:style w:type="paragraph" w:styleId="ListNumber4">
    <w:name w:val="List Number 4"/>
    <w:basedOn w:val="List4"/>
    <w:rsid w:val="006E4EC7"/>
    <w:pPr>
      <w:numPr>
        <w:numId w:val="6"/>
      </w:numPr>
    </w:pPr>
  </w:style>
  <w:style w:type="paragraph" w:styleId="ListNumber5">
    <w:name w:val="List Number 5"/>
    <w:basedOn w:val="List5"/>
    <w:rsid w:val="006E4EC7"/>
    <w:pPr>
      <w:numPr>
        <w:numId w:val="7"/>
      </w:numPr>
    </w:pPr>
  </w:style>
  <w:style w:type="paragraph" w:styleId="BlockText">
    <w:name w:val="Block Text"/>
    <w:basedOn w:val="Normal"/>
    <w:rsid w:val="006E4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EC7"/>
    <w:rPr>
      <w:sz w:val="16"/>
      <w:vertAlign w:val="superscript"/>
    </w:rPr>
  </w:style>
  <w:style w:type="character" w:customStyle="1" w:styleId="Symbols">
    <w:name w:val="Symbols"/>
    <w:basedOn w:val="DefaultParagraphFont"/>
    <w:rsid w:val="006E4EC7"/>
    <w:rPr>
      <w:rFonts w:ascii="Symbol" w:hAnsi="Symbol"/>
    </w:rPr>
  </w:style>
  <w:style w:type="character" w:customStyle="1" w:styleId="MenuOptions">
    <w:name w:val="Menu Options"/>
    <w:basedOn w:val="DefaultParagraphFont"/>
    <w:rsid w:val="006E4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EC7"/>
    <w:rPr>
      <w:b/>
    </w:rPr>
  </w:style>
  <w:style w:type="character" w:customStyle="1" w:styleId="Underlined">
    <w:name w:val="Underlined"/>
    <w:basedOn w:val="DefaultParagraphFont"/>
    <w:rsid w:val="006E4EC7"/>
    <w:rPr>
      <w:u w:val="single"/>
    </w:rPr>
  </w:style>
  <w:style w:type="paragraph" w:customStyle="1" w:styleId="TableBodyTextRight">
    <w:name w:val="Table Body Text Right"/>
    <w:basedOn w:val="TableBodyText"/>
    <w:rsid w:val="006E4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EC7"/>
    <w:rPr>
      <w:sz w:val="18"/>
    </w:rPr>
  </w:style>
  <w:style w:type="paragraph" w:customStyle="1" w:styleId="BodySmallRight">
    <w:name w:val="Body Small Right"/>
    <w:basedOn w:val="BodyTextRight"/>
    <w:rsid w:val="006E4EC7"/>
    <w:rPr>
      <w:sz w:val="18"/>
      <w:szCs w:val="18"/>
    </w:rPr>
  </w:style>
  <w:style w:type="paragraph" w:customStyle="1" w:styleId="MarginEdition">
    <w:name w:val="Margin Edition"/>
    <w:basedOn w:val="MarginNote"/>
    <w:rsid w:val="006E4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EC7"/>
    <w:rPr>
      <w:sz w:val="2"/>
      <w:szCs w:val="2"/>
    </w:rPr>
  </w:style>
  <w:style w:type="character" w:customStyle="1" w:styleId="Small">
    <w:name w:val="Small"/>
    <w:basedOn w:val="DefaultParagraphFont"/>
    <w:rsid w:val="006E4EC7"/>
    <w:rPr>
      <w:sz w:val="16"/>
    </w:rPr>
  </w:style>
  <w:style w:type="paragraph" w:customStyle="1" w:styleId="WideTable">
    <w:name w:val="Wide Table"/>
    <w:basedOn w:val="Normal"/>
    <w:rsid w:val="006E4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EC7"/>
  </w:style>
  <w:style w:type="paragraph" w:styleId="Quote">
    <w:name w:val="Quote"/>
    <w:basedOn w:val="Heading1"/>
    <w:link w:val="QuoteChar"/>
    <w:qFormat/>
    <w:rsid w:val="006E4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EC7"/>
    <w:pPr>
      <w:pageBreakBefore/>
    </w:pPr>
  </w:style>
  <w:style w:type="paragraph" w:customStyle="1" w:styleId="Border">
    <w:name w:val="Border"/>
    <w:basedOn w:val="Normal"/>
    <w:qFormat/>
    <w:rsid w:val="006E4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EC7"/>
    <w:rPr>
      <w:u w:val="single"/>
    </w:rPr>
  </w:style>
  <w:style w:type="character" w:customStyle="1" w:styleId="BoldandItalics">
    <w:name w:val="Bold and Italics"/>
    <w:qFormat/>
    <w:rsid w:val="006E4EC7"/>
    <w:rPr>
      <w:b/>
      <w:i/>
      <w:u w:val="none"/>
    </w:rPr>
  </w:style>
  <w:style w:type="paragraph" w:styleId="BalloonText">
    <w:name w:val="Balloon Text"/>
    <w:basedOn w:val="Normal"/>
    <w:link w:val="BalloonTextChar"/>
    <w:rsid w:val="006E4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E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3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4038</Characters>
  <Application>Microsoft Office Word</Application>
  <DocSecurity>0</DocSecurity>
  <Lines>118</Lines>
  <Paragraphs>98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FWPCOT3313 Apply biodiversity protection principles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