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56E" w:rsidP="00EF1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FWPCOT3263 Maintain and contribute to energy efficiency</w:t>
      </w:r>
      <w:r>
        <w:fldChar w:fldCharType="end"/>
      </w:r>
    </w:p>
    <w:p w:rsidR="00EF156E" w:rsidP="00EF156E">
      <w:pPr>
        <w:pStyle w:val="Version"/>
        <w:sectPr w:rsidSect="00CD6D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6DEA" w:rsidP="00CD6DEA">
      <w:pPr>
        <w:pStyle w:val="SuperHeading"/>
      </w:pPr>
      <w:r w:rsidRPr="00CD6DEA">
        <w:t>FWPCOT3263 Maintain and contribute to energy efficiency</w:t>
      </w:r>
    </w:p>
    <w:p w:rsidR="00000000" w:rsidRPr="00CD6DEA" w:rsidP="00CD6DEA">
      <w:pPr>
        <w:pStyle w:val="Heading1"/>
      </w:pPr>
      <w:bookmarkStart w:id="1" w:name="O_972343"/>
      <w:bookmarkEnd w:id="1"/>
      <w:r w:rsidRPr="00CD6D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CD6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EA" w:rsidP="00CD6DEA">
            <w:pPr>
              <w:pStyle w:val="BodyText"/>
            </w:pPr>
            <w:r w:rsidRPr="00CD6DEA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rPr>
                <w:rStyle w:val="SpecialBold"/>
              </w:rPr>
              <w:t>Comments</w:t>
            </w:r>
          </w:p>
        </w:tc>
      </w:tr>
      <w:tr w:rsidTr="00CD6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t>Release 2</w:t>
            </w:r>
            <w:r w:rsidRPr="00CD6DEA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t>This version released with FWP Forest and Wood Products Training Package Version 3.0.</w:t>
            </w:r>
          </w:p>
        </w:tc>
      </w:tr>
      <w:tr w:rsidTr="00CD6D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EA" w:rsidP="00CD6DEA">
            <w:pPr>
              <w:pStyle w:val="BodyText"/>
            </w:pPr>
            <w:r w:rsidRPr="00CD6DEA">
              <w:t>This version released with FWP Forest and Wood Products Training Package Version 2.0.</w:t>
            </w:r>
          </w:p>
        </w:tc>
      </w:tr>
    </w:tbl>
    <w:p w:rsidR="00000000" w:rsidRPr="00CD6DEA" w:rsidP="00CD6DEA">
      <w:pPr>
        <w:pStyle w:val="BodyText"/>
      </w:pPr>
    </w:p>
    <w:p w:rsidR="00000000" w:rsidRPr="00CD6DEA" w:rsidP="00CD6DEA">
      <w:pPr>
        <w:pStyle w:val="AllowPageBreak"/>
      </w:pPr>
    </w:p>
    <w:p w:rsidR="00000000" w:rsidRPr="00CD6DEA" w:rsidP="00CD6DEA">
      <w:pPr>
        <w:pStyle w:val="Heading1"/>
      </w:pPr>
      <w:bookmarkStart w:id="2" w:name="O_972342"/>
      <w:bookmarkEnd w:id="2"/>
      <w:r w:rsidRPr="00CD6DEA">
        <w:t>Application</w:t>
      </w:r>
    </w:p>
    <w:p w:rsidR="00000000" w:rsidRPr="00CD6DEA" w:rsidP="00EF156E">
      <w:pPr>
        <w:pStyle w:val="BodyText"/>
      </w:pPr>
      <w:r w:rsidRPr="00CD6DEA">
        <w:t xml:space="preserve">This unit of competency describes the outcomes required to maintain energy efficient work practices and contribute to systems improvement with regard to energy efficiency. </w:t>
      </w:r>
    </w:p>
    <w:p w:rsidR="00000000" w:rsidRPr="00CD6DEA" w:rsidP="00EF156E">
      <w:pPr>
        <w:pStyle w:val="BodyText"/>
      </w:pPr>
      <w:r w:rsidRPr="00CD6DEA">
        <w:t>The unit applies to a wide range of roles across all indust</w:t>
      </w:r>
      <w:r w:rsidRPr="00CD6DEA">
        <w:t xml:space="preserve">ry sectors. </w:t>
      </w:r>
    </w:p>
    <w:p w:rsidR="00000000" w:rsidRPr="00CD6DEA" w:rsidP="00EF156E">
      <w:pPr>
        <w:pStyle w:val="BodyText"/>
      </w:pPr>
      <w:r w:rsidRPr="00CD6DEA">
        <w:t>No licensing, legislative, regulatory, or certification requirements apply to this unit at the time of publication.</w:t>
      </w:r>
    </w:p>
    <w:p w:rsidR="00000000" w:rsidRPr="00CD6DEA" w:rsidP="00CD6DEA">
      <w:pPr>
        <w:pStyle w:val="Heading1"/>
      </w:pPr>
      <w:bookmarkStart w:id="3" w:name="O_972341"/>
      <w:bookmarkEnd w:id="3"/>
      <w:r w:rsidRPr="00CD6DEA">
        <w:t>Pre-requisite Unit</w:t>
      </w:r>
    </w:p>
    <w:p w:rsidR="00000000" w:rsidRPr="00CD6DEA" w:rsidP="00EF156E">
      <w:pPr>
        <w:pStyle w:val="BodyText"/>
      </w:pPr>
      <w:r w:rsidRPr="00CD6DEA">
        <w:t>Nil</w:t>
      </w:r>
    </w:p>
    <w:p w:rsidR="00000000" w:rsidRPr="00CD6DEA" w:rsidP="00CD6DEA">
      <w:pPr>
        <w:pStyle w:val="Heading1"/>
      </w:pPr>
      <w:bookmarkStart w:id="4" w:name="O_972340"/>
      <w:bookmarkEnd w:id="4"/>
      <w:r w:rsidRPr="00CD6DEA">
        <w:t>Unit Sector</w:t>
      </w:r>
    </w:p>
    <w:p w:rsidR="00000000" w:rsidRPr="00CD6DEA" w:rsidP="00EF156E">
      <w:pPr>
        <w:pStyle w:val="List"/>
      </w:pPr>
      <w:r w:rsidRPr="00CD6DEA">
        <w:t>Pulp and Paper Manufacturing</w:t>
      </w:r>
    </w:p>
    <w:p w:rsidR="00000000" w:rsidRPr="00CD6DEA" w:rsidP="00EF156E">
      <w:pPr>
        <w:pStyle w:val="List"/>
      </w:pPr>
      <w:r w:rsidRPr="00CD6DEA">
        <w:t>Forest Growing and Management</w:t>
      </w:r>
    </w:p>
    <w:p w:rsidR="00000000" w:rsidRPr="00CD6DEA" w:rsidP="00EF156E">
      <w:pPr>
        <w:pStyle w:val="List"/>
      </w:pPr>
      <w:r w:rsidRPr="00CD6DEA">
        <w:t>Harvesting and Haulage</w:t>
      </w:r>
    </w:p>
    <w:p w:rsidR="00000000" w:rsidRPr="00CD6DEA" w:rsidP="00EF156E">
      <w:pPr>
        <w:pStyle w:val="List"/>
      </w:pPr>
      <w:r w:rsidRPr="00CD6DEA">
        <w:t>Sawmilling and Processing</w:t>
      </w:r>
    </w:p>
    <w:p w:rsidR="00000000" w:rsidRPr="00CD6DEA" w:rsidP="00EF156E">
      <w:pPr>
        <w:pStyle w:val="List"/>
      </w:pPr>
      <w:r w:rsidRPr="00CD6DEA">
        <w:t>Timber Manufactured Products</w:t>
      </w:r>
    </w:p>
    <w:p w:rsidR="00000000" w:rsidRPr="00CD6DEA" w:rsidP="00EF156E">
      <w:pPr>
        <w:pStyle w:val="List"/>
      </w:pPr>
      <w:r w:rsidRPr="00CD6DEA">
        <w:t>Timber Merchandising</w:t>
      </w:r>
    </w:p>
    <w:p w:rsidR="00000000" w:rsidRPr="00CD6DEA" w:rsidP="00EF156E">
      <w:pPr>
        <w:pStyle w:val="List"/>
      </w:pPr>
      <w:r w:rsidRPr="00CD6DEA">
        <w:t>Wood Panel Products</w:t>
      </w:r>
    </w:p>
    <w:p w:rsidR="00000000" w:rsidRPr="00CD6DEA" w:rsidP="00EF156E">
      <w:pPr>
        <w:pStyle w:val="List"/>
      </w:pPr>
      <w:r w:rsidRPr="00CD6DEA">
        <w:t>Timber Truss and Frame Design and Manufacture</w:t>
      </w:r>
    </w:p>
    <w:p w:rsidR="00000000" w:rsidRPr="00CD6DEA" w:rsidP="00CD6DEA">
      <w:pPr>
        <w:pStyle w:val="AllowPageBreak"/>
      </w:pPr>
    </w:p>
    <w:p w:rsidR="00000000" w:rsidRPr="00CD6DEA" w:rsidP="00CD6DEA">
      <w:pPr>
        <w:pStyle w:val="Heading1"/>
      </w:pPr>
      <w:bookmarkStart w:id="5" w:name="O_972339"/>
      <w:bookmarkEnd w:id="5"/>
      <w:r w:rsidRPr="00CD6D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6"/>
        <w:gridCol w:w="7444"/>
      </w:tblGrid>
      <w:tr w:rsidTr="00CD6D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EA" w:rsidP="00CD6DEA">
            <w:pPr>
              <w:pStyle w:val="BodyText"/>
            </w:pPr>
            <w:r w:rsidRPr="00CD6DEA">
              <w:rPr>
                <w:rStyle w:val="SpecialBold"/>
              </w:rPr>
              <w:t>ELEMENTS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rPr>
                <w:rStyle w:val="SpecialBold"/>
              </w:rPr>
              <w:t>PERFORMANCE CRITERIA</w:t>
            </w:r>
          </w:p>
        </w:tc>
      </w:tr>
      <w:tr w:rsidTr="00CD6D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EA" w:rsidP="00CD6DEA">
            <w:pPr>
              <w:pStyle w:val="BodyText"/>
            </w:pPr>
            <w:r w:rsidRPr="00CD6DEA">
              <w:rPr>
                <w:rStyle w:val="Emphasis"/>
              </w:rPr>
              <w:t>Elements</w:t>
            </w:r>
            <w:r w:rsidRPr="00CD6DEA">
              <w:rPr>
                <w:rStyle w:val="Emphasis"/>
              </w:rPr>
              <w:t xml:space="preserve"> describe the essential outcomes.</w:t>
            </w:r>
          </w:p>
        </w:tc>
        <w:tc>
          <w:tcPr>
            <w:tcW w:w="7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D6D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t>1. Identify requirements to maintain and contribute to energy efficiency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EA" w:rsidP="00CD6DEA">
            <w:pPr>
              <w:pStyle w:val="BodyText"/>
            </w:pPr>
            <w:r w:rsidRPr="00CD6DEA">
              <w:t>1.1 Identify and review requirements to maintain energy efficiency</w:t>
            </w:r>
          </w:p>
          <w:p w:rsidR="00000000" w:rsidRPr="00CD6DEA" w:rsidP="00CD6DEA">
            <w:pPr>
              <w:pStyle w:val="BodyText"/>
            </w:pPr>
            <w:r w:rsidRPr="00CD6DEA">
              <w:t>1.2 Identify benefits relating to energy efficiency and the forest and wood products industry</w:t>
            </w:r>
          </w:p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t>1.3 Using a life-cycle</w:t>
            </w:r>
            <w:r w:rsidRPr="00CD6DEA">
              <w:t xml:space="preserve"> analysis, compare the benefits of using forest and wood products to other building materials</w:t>
            </w:r>
          </w:p>
        </w:tc>
      </w:tr>
      <w:tr w:rsidTr="00CD6D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t>2. Follow and promote energy efficient work practices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EA" w:rsidP="00CD6DEA">
            <w:pPr>
              <w:pStyle w:val="BodyText"/>
            </w:pPr>
            <w:r w:rsidRPr="00CD6DEA">
              <w:t xml:space="preserve">2.1 Adhere to site energy efficiency policy and procedures, including those related to recycling and waste </w:t>
            </w:r>
            <w:r w:rsidRPr="00CD6DEA">
              <w:t>management</w:t>
            </w:r>
          </w:p>
          <w:p w:rsidR="00000000" w:rsidRPr="00CD6DEA" w:rsidP="00CD6DEA">
            <w:pPr>
              <w:pStyle w:val="BodyText"/>
            </w:pPr>
            <w:r w:rsidRPr="00CD6DEA">
              <w:t>2.2 Operate equipment to ensure maximum energy efficiency</w:t>
            </w:r>
          </w:p>
          <w:p w:rsidR="00000000" w:rsidRPr="00CD6DEA" w:rsidP="00CD6DEA">
            <w:pPr>
              <w:pStyle w:val="BodyText"/>
            </w:pPr>
            <w:r w:rsidRPr="00CD6DEA">
              <w:t>2.3 Monitor own work practices to maintain energy efficiency</w:t>
            </w:r>
          </w:p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t>2.4 Promote positive aspects of the forest and wood products industry in comparison to other building materials to internal an</w:t>
            </w:r>
            <w:r w:rsidRPr="00CD6DEA">
              <w:t>d external stakeholders</w:t>
            </w:r>
          </w:p>
        </w:tc>
      </w:tr>
      <w:tr w:rsidTr="00CD6D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t>3. Contribute to systems improvement with regard to energy efficiency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EA" w:rsidP="00CD6DEA">
            <w:pPr>
              <w:pStyle w:val="BodyText"/>
            </w:pPr>
            <w:r w:rsidRPr="00CD6DEA">
              <w:t>3.1 Contribute to and support reviews of operations for improvements in energy efficiency</w:t>
            </w:r>
          </w:p>
          <w:p w:rsidR="00000000" w:rsidRPr="00CD6DEA" w:rsidP="00CD6DEA">
            <w:pPr>
              <w:pStyle w:val="BodyText"/>
            </w:pPr>
            <w:r w:rsidRPr="00CD6DEA">
              <w:t>3.2 Identify opportunities for efficiencies in consumption or raw mater</w:t>
            </w:r>
            <w:r w:rsidRPr="00CD6DEA">
              <w:t>ials and progress through appropriate personnel</w:t>
            </w:r>
          </w:p>
          <w:p w:rsidR="00000000" w:rsidRPr="00CD6DEA" w:rsidP="00CD6DEA">
            <w:pPr>
              <w:pStyle w:val="BodyText"/>
            </w:pPr>
            <w:r w:rsidRPr="00CD6DEA">
              <w:t xml:space="preserve">3.3 Identify opportunities for innovation in energy efficiency and progress through established channels. </w:t>
            </w:r>
          </w:p>
        </w:tc>
      </w:tr>
    </w:tbl>
    <w:p w:rsidR="00000000" w:rsidRPr="00CD6DEA" w:rsidP="00CD6DEA">
      <w:pPr>
        <w:pStyle w:val="BodyText"/>
      </w:pPr>
    </w:p>
    <w:p w:rsidR="00000000" w:rsidRPr="00CD6DEA" w:rsidP="00CD6DEA">
      <w:pPr>
        <w:pStyle w:val="AllowPageBreak"/>
      </w:pPr>
    </w:p>
    <w:p w:rsidR="00000000" w:rsidRPr="00CD6DEA" w:rsidP="00CD6DEA">
      <w:pPr>
        <w:pStyle w:val="Heading1"/>
      </w:pPr>
      <w:bookmarkStart w:id="6" w:name="O_972338"/>
      <w:bookmarkEnd w:id="6"/>
      <w:r w:rsidRPr="00CD6DEA">
        <w:t>Foundation Skills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6D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CD6D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t>Numeracy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ListBullet"/>
              <w:rPr>
                <w:lang w:val="en-NZ"/>
              </w:rPr>
            </w:pPr>
            <w:r w:rsidRPr="00CD6DEA">
              <w:t>measure and monitor performance.</w:t>
            </w:r>
          </w:p>
        </w:tc>
      </w:tr>
      <w:tr w:rsidTr="00CD6D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t>Oral communication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EA" w:rsidP="00CD6DEA">
            <w:pPr>
              <w:pStyle w:val="ListBullet"/>
            </w:pPr>
            <w:r w:rsidRPr="00CD6DEA">
              <w:t>escalate issues requiring attention.</w:t>
            </w:r>
          </w:p>
          <w:p w:rsidR="00000000" w:rsidP="00CD6DEA">
            <w:pPr>
              <w:pStyle w:val="ListBullet"/>
              <w:rPr>
                <w:lang w:val="en-NZ"/>
              </w:rPr>
            </w:pPr>
            <w:r w:rsidRPr="00CD6DEA">
              <w:t>communicate with colleagues about energy efficiency.</w:t>
            </w:r>
          </w:p>
        </w:tc>
      </w:tr>
      <w:tr w:rsidTr="00CD6D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t>Reading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ListBullet"/>
              <w:rPr>
                <w:lang w:val="en-NZ"/>
              </w:rPr>
            </w:pPr>
            <w:r w:rsidRPr="00CD6DEA">
              <w:t>interpret policies and procedures.</w:t>
            </w:r>
          </w:p>
        </w:tc>
      </w:tr>
      <w:tr w:rsidTr="00CD6D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t>Writing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ListBullet"/>
              <w:rPr>
                <w:lang w:val="en-NZ"/>
              </w:rPr>
            </w:pPr>
            <w:r w:rsidRPr="00CD6DEA">
              <w:t>make reports about energy efficiency.</w:t>
            </w:r>
          </w:p>
        </w:tc>
      </w:tr>
      <w:tr w:rsidTr="00CD6D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t>Initiative and enterprise skills to: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EA" w:rsidP="00CD6DEA">
            <w:pPr>
              <w:pStyle w:val="ListBullet"/>
            </w:pPr>
            <w:r w:rsidRPr="00CD6DEA">
              <w:t>find safer a</w:t>
            </w:r>
            <w:r w:rsidRPr="00CD6DEA">
              <w:t>nd more energy efficient ways of working.</w:t>
            </w:r>
          </w:p>
        </w:tc>
      </w:tr>
    </w:tbl>
    <w:p w:rsidR="00000000" w:rsidRPr="00CD6DEA" w:rsidP="00CD6DEA">
      <w:pPr>
        <w:pStyle w:val="BodyText"/>
      </w:pPr>
    </w:p>
    <w:p w:rsidR="00000000" w:rsidRPr="00CD6DEA" w:rsidP="00CD6DEA">
      <w:pPr>
        <w:pStyle w:val="AllowPageBreak"/>
      </w:pPr>
    </w:p>
    <w:p w:rsidR="00000000" w:rsidRPr="00CD6DEA" w:rsidP="00CD6DEA">
      <w:pPr>
        <w:pStyle w:val="Heading1"/>
      </w:pPr>
      <w:bookmarkStart w:id="7" w:name="O_972336"/>
      <w:bookmarkEnd w:id="7"/>
      <w:r w:rsidRPr="00CD6DEA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CD6DEA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EA" w:rsidP="00CD6DEA">
            <w:pPr>
              <w:pStyle w:val="BodyText"/>
            </w:pPr>
            <w:r w:rsidRPr="00CD6DEA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EA" w:rsidP="00CD6DEA">
            <w:pPr>
              <w:pStyle w:val="BodyText"/>
            </w:pPr>
            <w:r w:rsidRPr="00CD6DEA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EA" w:rsidP="00CD6DEA">
            <w:pPr>
              <w:pStyle w:val="BodyText"/>
            </w:pPr>
            <w:r w:rsidRPr="00CD6DEA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rPr>
                <w:rStyle w:val="SpecialBold"/>
              </w:rPr>
              <w:t>Equivalence status</w:t>
            </w:r>
          </w:p>
        </w:tc>
      </w:tr>
      <w:tr w:rsidTr="00CD6DEA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t>FWPCOT3263 Maintain and contribute to energy efficiency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t>FWPCOT3263 Maintain and contribute to energy efficiency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DEA">
            <w:pPr>
              <w:pStyle w:val="BodyText"/>
              <w:rPr>
                <w:lang w:val="en-NZ"/>
              </w:rPr>
            </w:pPr>
            <w:r w:rsidRPr="00CD6DEA">
              <w:t>Minor typographical errors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DEA" w:rsidP="00CD6DEA">
            <w:pPr>
              <w:pStyle w:val="BodyText"/>
            </w:pPr>
            <w:r w:rsidRPr="00CD6DEA">
              <w:t>Equivalent unit</w:t>
            </w:r>
          </w:p>
        </w:tc>
      </w:tr>
    </w:tbl>
    <w:p w:rsidR="00000000" w:rsidRPr="00CD6DEA" w:rsidP="00CD6DEA">
      <w:pPr>
        <w:pStyle w:val="BodyText"/>
      </w:pPr>
    </w:p>
    <w:p w:rsidR="00000000" w:rsidRPr="00CD6DEA" w:rsidP="00CD6DEA">
      <w:pPr>
        <w:pStyle w:val="AllowPageBreak"/>
      </w:pPr>
    </w:p>
    <w:p w:rsidR="00000000" w:rsidRPr="00CD6DEA" w:rsidP="00CD6DEA">
      <w:pPr>
        <w:pStyle w:val="Heading1"/>
      </w:pPr>
      <w:bookmarkStart w:id="8" w:name="O_972344"/>
      <w:bookmarkEnd w:id="8"/>
      <w:r w:rsidRPr="00CD6DEA">
        <w:t>Links</w:t>
      </w:r>
    </w:p>
    <w:p w:rsidR="00000000" w:rsidRPr="00CD6DEA" w:rsidP="00EF156E">
      <w:pPr>
        <w:pStyle w:val="BodyText"/>
      </w:pPr>
      <w:r w:rsidRPr="00CD6D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7479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D6DEA" w:rsidP="00CD6DEA"/>
    <w:sectPr w:rsidSect="00CD6D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EA" w:rsidRPr="00EF156E" w:rsidP="00EF1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56E" w:rsidP="00CD6D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156E" w:rsidP="00CD6D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156E" w:rsidP="00CD6D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DEA" w:rsidRPr="00EF156E" w:rsidP="00EF1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D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56E" w:rsidRPr="002D2AF8" w:rsidP="00CD6D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FWPCOT3263 Maintain and contribute to energy efficiency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EF156E" w:rsidP="00CD6D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AA3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C405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D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D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D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D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D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D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D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D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D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D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D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DEA"/>
  </w:style>
  <w:style w:type="character" w:customStyle="1" w:styleId="Heading1Char">
    <w:name w:val="Heading 1 Char"/>
    <w:basedOn w:val="DefaultParagraphFont"/>
    <w:link w:val="Heading1"/>
    <w:rsid w:val="00CD6D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D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D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6D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6DEA"/>
    <w:rPr>
      <w:b/>
      <w:spacing w:val="0"/>
    </w:rPr>
  </w:style>
  <w:style w:type="character" w:styleId="Emphasis">
    <w:name w:val="Emphasis"/>
    <w:basedOn w:val="DefaultParagraphFont"/>
    <w:qFormat/>
    <w:rsid w:val="00CD6DEA"/>
    <w:rPr>
      <w:i/>
    </w:rPr>
  </w:style>
  <w:style w:type="paragraph" w:customStyle="1" w:styleId="SuperHeading">
    <w:name w:val="SuperHeading"/>
    <w:basedOn w:val="Normal"/>
    <w:rsid w:val="00CD6D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D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6D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D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D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D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D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D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D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D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D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D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D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D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D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D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D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6D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6D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D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D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6D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6D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D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D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D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D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D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D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D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D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6D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D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D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DEA"/>
  </w:style>
  <w:style w:type="paragraph" w:styleId="TableofFigures">
    <w:name w:val="table of figures"/>
    <w:basedOn w:val="Normal"/>
    <w:next w:val="Normal"/>
    <w:semiHidden/>
    <w:rsid w:val="00CD6D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D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6DEA"/>
    <w:rPr>
      <w:rFonts w:ascii="Wingdings" w:hAnsi="Wingdings"/>
    </w:rPr>
  </w:style>
  <w:style w:type="paragraph" w:customStyle="1" w:styleId="TableHeading">
    <w:name w:val="Table Heading"/>
    <w:basedOn w:val="HeadingBase"/>
    <w:rsid w:val="00CD6D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DEA"/>
    <w:rPr>
      <w:color w:val="0033CC"/>
      <w:u w:val="none"/>
    </w:rPr>
  </w:style>
  <w:style w:type="paragraph" w:customStyle="1" w:styleId="BodyTextRight">
    <w:name w:val="Body Text Right"/>
    <w:basedOn w:val="BodyText"/>
    <w:rsid w:val="00CD6D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D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D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D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D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D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DEA"/>
    <w:rPr>
      <w:sz w:val="32"/>
    </w:rPr>
  </w:style>
  <w:style w:type="paragraph" w:customStyle="1" w:styleId="HeadingProcedure">
    <w:name w:val="Heading Procedure"/>
    <w:basedOn w:val="HeadingBase"/>
    <w:next w:val="Normal"/>
    <w:rsid w:val="00CD6D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DEA"/>
    <w:pPr>
      <w:spacing w:before="60" w:after="60"/>
    </w:pPr>
  </w:style>
  <w:style w:type="paragraph" w:styleId="ListContinue">
    <w:name w:val="List Continue"/>
    <w:basedOn w:val="List"/>
    <w:rsid w:val="00CD6DEA"/>
    <w:pPr>
      <w:ind w:firstLine="0"/>
    </w:pPr>
  </w:style>
  <w:style w:type="paragraph" w:customStyle="1" w:styleId="ListNote">
    <w:name w:val="List Note"/>
    <w:basedOn w:val="List"/>
    <w:rsid w:val="00CD6D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D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D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DEA"/>
    <w:rPr>
      <w:rFonts w:ascii="Courier New" w:hAnsi="Courier New"/>
    </w:rPr>
  </w:style>
  <w:style w:type="paragraph" w:customStyle="1" w:styleId="NoteBullet">
    <w:name w:val="Note Bullet"/>
    <w:basedOn w:val="Note"/>
    <w:rsid w:val="00CD6D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D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D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D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D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6D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D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DEA"/>
    <w:rPr>
      <w:b/>
      <w:smallCaps/>
    </w:rPr>
  </w:style>
  <w:style w:type="paragraph" w:customStyle="1" w:styleId="TableListNumber">
    <w:name w:val="Table List Number"/>
    <w:basedOn w:val="ListNumber"/>
    <w:rsid w:val="00CD6D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D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DEA"/>
    <w:pPr>
      <w:numPr>
        <w:numId w:val="8"/>
      </w:numPr>
    </w:pPr>
  </w:style>
  <w:style w:type="paragraph" w:customStyle="1" w:styleId="ListAlpha2">
    <w:name w:val="List Alpha 2"/>
    <w:basedOn w:val="List2"/>
    <w:rsid w:val="00CD6DEA"/>
    <w:pPr>
      <w:numPr>
        <w:numId w:val="7"/>
      </w:numPr>
    </w:pPr>
  </w:style>
  <w:style w:type="paragraph" w:styleId="List2">
    <w:name w:val="List 2"/>
    <w:basedOn w:val="BodyText"/>
    <w:rsid w:val="00CD6D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D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D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D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D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D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6DEA"/>
    <w:pPr>
      <w:numPr>
        <w:numId w:val="3"/>
      </w:numPr>
    </w:pPr>
  </w:style>
  <w:style w:type="paragraph" w:styleId="ListContinue2">
    <w:name w:val="List Continue 2"/>
    <w:basedOn w:val="List2"/>
    <w:rsid w:val="00CD6DEA"/>
    <w:pPr>
      <w:ind w:firstLine="0"/>
    </w:pPr>
  </w:style>
  <w:style w:type="paragraph" w:styleId="ListContinue3">
    <w:name w:val="List Continue 3"/>
    <w:basedOn w:val="List3"/>
    <w:rsid w:val="00CD6DEA"/>
    <w:pPr>
      <w:ind w:left="1021" w:firstLine="0"/>
    </w:pPr>
  </w:style>
  <w:style w:type="paragraph" w:styleId="ListContinue4">
    <w:name w:val="List Continue 4"/>
    <w:basedOn w:val="List4"/>
    <w:rsid w:val="00CD6DEA"/>
    <w:pPr>
      <w:ind w:firstLine="0"/>
    </w:pPr>
  </w:style>
  <w:style w:type="paragraph" w:styleId="ListContinue5">
    <w:name w:val="List Continue 5"/>
    <w:basedOn w:val="List5"/>
    <w:rsid w:val="00CD6DEA"/>
    <w:pPr>
      <w:ind w:firstLine="0"/>
    </w:pPr>
  </w:style>
  <w:style w:type="paragraph" w:styleId="ListNumber3">
    <w:name w:val="List Number 3"/>
    <w:basedOn w:val="List3"/>
    <w:rsid w:val="00CD6DEA"/>
    <w:pPr>
      <w:numPr>
        <w:numId w:val="4"/>
      </w:numPr>
    </w:pPr>
  </w:style>
  <w:style w:type="paragraph" w:styleId="ListNumber4">
    <w:name w:val="List Number 4"/>
    <w:basedOn w:val="List4"/>
    <w:rsid w:val="00CD6DEA"/>
    <w:pPr>
      <w:numPr>
        <w:numId w:val="5"/>
      </w:numPr>
    </w:pPr>
  </w:style>
  <w:style w:type="paragraph" w:styleId="ListNumber5">
    <w:name w:val="List Number 5"/>
    <w:basedOn w:val="List5"/>
    <w:rsid w:val="00CD6DEA"/>
    <w:pPr>
      <w:numPr>
        <w:numId w:val="6"/>
      </w:numPr>
    </w:pPr>
  </w:style>
  <w:style w:type="paragraph" w:styleId="BlockText">
    <w:name w:val="Block Text"/>
    <w:basedOn w:val="Normal"/>
    <w:rsid w:val="00CD6D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D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DEA"/>
    <w:rPr>
      <w:sz w:val="16"/>
      <w:vertAlign w:val="superscript"/>
    </w:rPr>
  </w:style>
  <w:style w:type="character" w:customStyle="1" w:styleId="Symbols">
    <w:name w:val="Symbols"/>
    <w:basedOn w:val="DefaultParagraphFont"/>
    <w:rsid w:val="00CD6DEA"/>
    <w:rPr>
      <w:rFonts w:ascii="Symbol" w:hAnsi="Symbol"/>
    </w:rPr>
  </w:style>
  <w:style w:type="character" w:customStyle="1" w:styleId="MenuOptions">
    <w:name w:val="Menu Options"/>
    <w:basedOn w:val="DefaultParagraphFont"/>
    <w:rsid w:val="00CD6D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DEA"/>
    <w:rPr>
      <w:b/>
    </w:rPr>
  </w:style>
  <w:style w:type="character" w:customStyle="1" w:styleId="Underlined">
    <w:name w:val="Underlined"/>
    <w:basedOn w:val="DefaultParagraphFont"/>
    <w:rsid w:val="00CD6DEA"/>
    <w:rPr>
      <w:u w:val="single"/>
    </w:rPr>
  </w:style>
  <w:style w:type="paragraph" w:customStyle="1" w:styleId="TableBodyTextRight">
    <w:name w:val="Table Body Text Right"/>
    <w:basedOn w:val="TableBodyText"/>
    <w:rsid w:val="00CD6D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DEA"/>
    <w:rPr>
      <w:sz w:val="18"/>
    </w:rPr>
  </w:style>
  <w:style w:type="paragraph" w:customStyle="1" w:styleId="BodySmallRight">
    <w:name w:val="Body Small Right"/>
    <w:basedOn w:val="BodyTextRight"/>
    <w:rsid w:val="00CD6DEA"/>
    <w:rPr>
      <w:sz w:val="18"/>
      <w:szCs w:val="18"/>
    </w:rPr>
  </w:style>
  <w:style w:type="paragraph" w:customStyle="1" w:styleId="MarginEdition">
    <w:name w:val="Margin Edition"/>
    <w:basedOn w:val="MarginNote"/>
    <w:rsid w:val="00CD6D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DEA"/>
    <w:rPr>
      <w:sz w:val="2"/>
      <w:szCs w:val="2"/>
    </w:rPr>
  </w:style>
  <w:style w:type="character" w:customStyle="1" w:styleId="Small">
    <w:name w:val="Small"/>
    <w:basedOn w:val="DefaultParagraphFont"/>
    <w:rsid w:val="00CD6DEA"/>
    <w:rPr>
      <w:sz w:val="16"/>
    </w:rPr>
  </w:style>
  <w:style w:type="paragraph" w:customStyle="1" w:styleId="WideTable">
    <w:name w:val="Wide Table"/>
    <w:basedOn w:val="Normal"/>
    <w:rsid w:val="00CD6D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DEA"/>
  </w:style>
  <w:style w:type="paragraph" w:styleId="Quote">
    <w:name w:val="Quote"/>
    <w:basedOn w:val="Heading1"/>
    <w:link w:val="QuoteChar"/>
    <w:qFormat/>
    <w:rsid w:val="00CD6D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D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DEA"/>
    <w:pPr>
      <w:pageBreakBefore/>
    </w:pPr>
  </w:style>
  <w:style w:type="paragraph" w:customStyle="1" w:styleId="Border">
    <w:name w:val="Border"/>
    <w:basedOn w:val="Normal"/>
    <w:qFormat/>
    <w:rsid w:val="00CD6D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D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D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D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D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D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D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D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D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DEA"/>
    <w:rPr>
      <w:u w:val="single"/>
    </w:rPr>
  </w:style>
  <w:style w:type="character" w:customStyle="1" w:styleId="BoldandItalics">
    <w:name w:val="Bold and Italics"/>
    <w:qFormat/>
    <w:rsid w:val="00CD6DEA"/>
    <w:rPr>
      <w:b/>
      <w:i/>
      <w:u w:val="none"/>
    </w:rPr>
  </w:style>
  <w:style w:type="paragraph" w:styleId="BalloonText">
    <w:name w:val="Balloon Text"/>
    <w:basedOn w:val="Normal"/>
    <w:link w:val="BalloonTextChar"/>
    <w:rsid w:val="00CD6D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D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D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D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D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D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DEA"/>
    <w:pPr>
      <w:spacing w:before="0" w:after="0"/>
    </w:pPr>
  </w:style>
  <w:style w:type="paragraph" w:customStyle="1" w:styleId="BodyTextBold">
    <w:name w:val="Body Text Bold"/>
    <w:basedOn w:val="BodyText"/>
    <w:qFormat/>
    <w:rsid w:val="00CD6DEA"/>
    <w:rPr>
      <w:b/>
    </w:rPr>
  </w:style>
  <w:style w:type="character" w:styleId="Hyperlink">
    <w:name w:val="Hyperlink"/>
    <w:basedOn w:val="DefaultParagraphFont"/>
    <w:uiPriority w:val="99"/>
    <w:unhideWhenUsed/>
    <w:rsid w:val="00EF1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3150</Characters>
  <Application>Microsoft Office Word</Application>
  <DocSecurity>0</DocSecurity>
  <Lines>131</Lines>
  <Paragraphs>80</Paragraphs>
  <ScaleCrop>false</ScaleCrop>
  <Company>Author-it Software Corporation Ltd.</Company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FWPCOT3263 Maintain and contribute to energy efficiency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2022-02-23T00:50:00Z</dcterms:created>
  <dcterms:modified xsi:type="dcterms:W3CDTF">2022-02-23T00:50:00Z</dcterms:modified>
</cp:coreProperties>
</file>