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772" w:rsidP="00BD2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FWPCOT3263 Maintain and contribute to energy efficiency</w:t>
      </w:r>
      <w:r>
        <w:fldChar w:fldCharType="end"/>
      </w:r>
    </w:p>
    <w:p w:rsidR="00BD2772" w:rsidP="00BD2772">
      <w:pPr>
        <w:pStyle w:val="Version"/>
        <w:sectPr w:rsidSect="00F81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1695" w:rsidP="00F81695">
      <w:pPr>
        <w:pStyle w:val="SuperHeading"/>
      </w:pPr>
      <w:r w:rsidRPr="00F81695">
        <w:t>FWPCOT3263 Maintain and contribute to energy efficiency</w:t>
      </w:r>
    </w:p>
    <w:p w:rsidR="00000000" w:rsidRPr="00F81695" w:rsidP="00F81695">
      <w:pPr>
        <w:pStyle w:val="Heading1"/>
      </w:pPr>
      <w:bookmarkStart w:id="1" w:name="O_972343"/>
      <w:bookmarkEnd w:id="1"/>
      <w:r w:rsidRPr="00F81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F8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rPr>
                <w:rStyle w:val="SpecialBold"/>
              </w:rPr>
              <w:t>Comments</w:t>
            </w:r>
          </w:p>
        </w:tc>
      </w:tr>
      <w:tr w:rsidTr="00F8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Release 2</w:t>
            </w:r>
            <w:r w:rsidRPr="00F81695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This version released with FWP Forest and Wood Products Training Package Version 3.0.</w:t>
            </w:r>
          </w:p>
        </w:tc>
      </w:tr>
      <w:tr w:rsidTr="00F81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t>This version released with FWP Forest and Wood Products Training Package Version 2.0.</w:t>
            </w:r>
          </w:p>
        </w:tc>
      </w:tr>
    </w:tbl>
    <w:p w:rsidR="00000000" w:rsidRPr="00F81695" w:rsidP="00F81695">
      <w:pPr>
        <w:pStyle w:val="BodyText"/>
      </w:pP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2" w:name="O_972342"/>
      <w:bookmarkEnd w:id="2"/>
      <w:r w:rsidRPr="00F81695">
        <w:t>Application</w:t>
      </w:r>
    </w:p>
    <w:p w:rsidR="00000000" w:rsidRPr="00F81695" w:rsidP="00BD2772">
      <w:pPr>
        <w:pStyle w:val="BodyText"/>
      </w:pPr>
      <w:r w:rsidRPr="00F81695">
        <w:t xml:space="preserve">This unit of competency describes the outcomes required to maintain energy efficient work practices and contribute to systems improvement with regard to energy efficiency. </w:t>
      </w:r>
    </w:p>
    <w:p w:rsidR="00000000" w:rsidRPr="00F81695" w:rsidP="00BD2772">
      <w:pPr>
        <w:pStyle w:val="BodyText"/>
      </w:pPr>
      <w:r w:rsidRPr="00F81695">
        <w:t>The unit applies to a wide range of roles across all indust</w:t>
      </w:r>
      <w:r w:rsidRPr="00F81695">
        <w:t xml:space="preserve">ry sectors. </w:t>
      </w:r>
    </w:p>
    <w:p w:rsidR="00000000" w:rsidRPr="00F81695" w:rsidP="00BD2772">
      <w:pPr>
        <w:pStyle w:val="BodyText"/>
      </w:pPr>
      <w:r w:rsidRPr="00F81695">
        <w:t>No licensing, legislative, regulatory, or certification requirements apply to this unit at the time of publication.</w:t>
      </w:r>
    </w:p>
    <w:p w:rsidR="00000000" w:rsidRPr="00F81695" w:rsidP="00F81695">
      <w:pPr>
        <w:pStyle w:val="Heading1"/>
      </w:pPr>
      <w:bookmarkStart w:id="3" w:name="O_972341"/>
      <w:bookmarkEnd w:id="3"/>
      <w:r w:rsidRPr="00F81695">
        <w:t>Pre-requisite Unit</w:t>
      </w:r>
    </w:p>
    <w:p w:rsidR="00000000" w:rsidRPr="00F81695" w:rsidP="00BD2772">
      <w:pPr>
        <w:pStyle w:val="BodyText"/>
      </w:pPr>
      <w:r w:rsidRPr="00F81695">
        <w:t>Nil</w:t>
      </w:r>
    </w:p>
    <w:p w:rsidR="00000000" w:rsidRPr="00F81695" w:rsidP="00F81695">
      <w:pPr>
        <w:pStyle w:val="Heading1"/>
      </w:pPr>
      <w:bookmarkStart w:id="4" w:name="O_972340"/>
      <w:bookmarkEnd w:id="4"/>
      <w:r w:rsidRPr="00F81695">
        <w:t>Unit Sector</w:t>
      </w:r>
    </w:p>
    <w:p w:rsidR="00000000" w:rsidRPr="00F81695" w:rsidP="00BD2772">
      <w:pPr>
        <w:pStyle w:val="List"/>
      </w:pPr>
      <w:r w:rsidRPr="00F81695">
        <w:t>Pulp and Paper Manufacturing</w:t>
      </w:r>
    </w:p>
    <w:p w:rsidR="00000000" w:rsidRPr="00F81695" w:rsidP="00BD2772">
      <w:pPr>
        <w:pStyle w:val="List"/>
      </w:pPr>
      <w:r w:rsidRPr="00F81695">
        <w:t>Forest Growing and Management</w:t>
      </w:r>
    </w:p>
    <w:p w:rsidR="00000000" w:rsidRPr="00F81695" w:rsidP="00BD2772">
      <w:pPr>
        <w:pStyle w:val="List"/>
      </w:pPr>
      <w:r w:rsidRPr="00F81695">
        <w:t>Harvesting and Haulage</w:t>
      </w:r>
    </w:p>
    <w:p w:rsidR="00000000" w:rsidRPr="00F81695" w:rsidP="00BD2772">
      <w:pPr>
        <w:pStyle w:val="List"/>
      </w:pPr>
      <w:r w:rsidRPr="00F81695">
        <w:t>Sawmilling and Processing</w:t>
      </w:r>
    </w:p>
    <w:p w:rsidR="00000000" w:rsidRPr="00F81695" w:rsidP="00BD2772">
      <w:pPr>
        <w:pStyle w:val="List"/>
      </w:pPr>
      <w:r w:rsidRPr="00F81695">
        <w:t>Timber Manufactured Products</w:t>
      </w:r>
    </w:p>
    <w:p w:rsidR="00000000" w:rsidRPr="00F81695" w:rsidP="00BD2772">
      <w:pPr>
        <w:pStyle w:val="List"/>
      </w:pPr>
      <w:r w:rsidRPr="00F81695">
        <w:t>Timber Merchandising</w:t>
      </w:r>
    </w:p>
    <w:p w:rsidR="00000000" w:rsidRPr="00F81695" w:rsidP="00BD2772">
      <w:pPr>
        <w:pStyle w:val="List"/>
      </w:pPr>
      <w:r w:rsidRPr="00F81695">
        <w:t>Wood Panel Products</w:t>
      </w:r>
    </w:p>
    <w:p w:rsidR="00000000" w:rsidRPr="00F81695" w:rsidP="00BD2772">
      <w:pPr>
        <w:pStyle w:val="List"/>
      </w:pPr>
      <w:r w:rsidRPr="00F81695">
        <w:t>Timber Truss and Frame Design and Manufacture</w:t>
      </w: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5" w:name="O_972339"/>
      <w:bookmarkEnd w:id="5"/>
      <w:r w:rsidRPr="00F816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44"/>
      </w:tblGrid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SpecialBold"/>
              </w:rPr>
              <w:t>ELEMENTS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rPr>
                <w:rStyle w:val="SpecialBold"/>
              </w:rPr>
              <w:t>PERFORMANCE CRITERIA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Emphasis"/>
              </w:rPr>
              <w:t>Elements</w:t>
            </w:r>
            <w:r w:rsidRPr="00F81695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7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1. Identify requirements to maintain and contribute to energy efficiency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t>1.1 Identify and review requirements to maintain energy efficiency</w:t>
            </w:r>
          </w:p>
          <w:p w:rsidR="00000000" w:rsidRPr="00F81695" w:rsidP="00F81695">
            <w:pPr>
              <w:pStyle w:val="BodyText"/>
            </w:pPr>
            <w:r w:rsidRPr="00F81695">
              <w:t>1.2 Identify benefits relating to energy efficiency and the forest and wood products industry</w:t>
            </w:r>
          </w:p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1.3 Using a life-cycle</w:t>
            </w:r>
            <w:r w:rsidRPr="00F81695">
              <w:t xml:space="preserve"> analysis, compare the benefits of using forest and wood products to other building materials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2. Follow and promote energy efficient work practices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t xml:space="preserve">2.1 Adhere to site energy efficiency policy and procedures, including those related to recycling and waste </w:t>
            </w:r>
            <w:r w:rsidRPr="00F81695">
              <w:t>management</w:t>
            </w:r>
          </w:p>
          <w:p w:rsidR="00000000" w:rsidRPr="00F81695" w:rsidP="00F81695">
            <w:pPr>
              <w:pStyle w:val="BodyText"/>
            </w:pPr>
            <w:r w:rsidRPr="00F81695">
              <w:t>2.2 Operate equipment to ensure maximum energy efficiency</w:t>
            </w:r>
          </w:p>
          <w:p w:rsidR="00000000" w:rsidRPr="00F81695" w:rsidP="00F81695">
            <w:pPr>
              <w:pStyle w:val="BodyText"/>
            </w:pPr>
            <w:r w:rsidRPr="00F81695">
              <w:t>2.3 Monitor own work practices to maintain energy efficiency</w:t>
            </w:r>
          </w:p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2.4 Promote positive aspects of the forest and wood products industry in comparison to other building materials to internal an</w:t>
            </w:r>
            <w:r w:rsidRPr="00F81695">
              <w:t>d external stakeholders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3. Contribute to systems improvement with regard to energy efficiency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t>3.1 Contribute to and support reviews of operations for improvements in energy efficiency</w:t>
            </w:r>
          </w:p>
          <w:p w:rsidR="00000000" w:rsidRPr="00F81695" w:rsidP="00F81695">
            <w:pPr>
              <w:pStyle w:val="BodyText"/>
            </w:pPr>
            <w:r w:rsidRPr="00F81695">
              <w:t>3.2 Identify opportunities for efficiencies in consumption or raw mater</w:t>
            </w:r>
            <w:r w:rsidRPr="00F81695">
              <w:t>ials and progress through appropriate personnel</w:t>
            </w:r>
          </w:p>
          <w:p w:rsidR="00000000" w:rsidRPr="00F81695" w:rsidP="00F81695">
            <w:pPr>
              <w:pStyle w:val="BodyText"/>
            </w:pPr>
            <w:r w:rsidRPr="00F81695">
              <w:t xml:space="preserve">3.3 Identify opportunities for innovation in energy efficiency and progress through established channels. </w:t>
            </w:r>
          </w:p>
        </w:tc>
      </w:tr>
    </w:tbl>
    <w:p w:rsidR="00000000" w:rsidRPr="00F81695" w:rsidP="00F81695">
      <w:pPr>
        <w:pStyle w:val="BodyText"/>
      </w:pP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6" w:name="O_972338"/>
      <w:bookmarkEnd w:id="6"/>
      <w:r w:rsidRPr="00F81695">
        <w:t>Foundation Skills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ListBullet"/>
              <w:rPr>
                <w:lang w:val="en-NZ"/>
              </w:rPr>
            </w:pPr>
            <w:r w:rsidRPr="00F81695">
              <w:t>measure and monitor performance.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ListBullet"/>
            </w:pPr>
            <w:r w:rsidRPr="00F81695">
              <w:t>escalate issues requiring attention.</w:t>
            </w:r>
          </w:p>
          <w:p w:rsidR="00000000" w:rsidP="00F81695">
            <w:pPr>
              <w:pStyle w:val="ListBullet"/>
              <w:rPr>
                <w:lang w:val="en-NZ"/>
              </w:rPr>
            </w:pPr>
            <w:r w:rsidRPr="00F81695">
              <w:t>communicate with colleagues about energy efficiency.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ListBullet"/>
              <w:rPr>
                <w:lang w:val="en-NZ"/>
              </w:rPr>
            </w:pPr>
            <w:r w:rsidRPr="00F81695">
              <w:t>interpret policies and procedures.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ListBullet"/>
              <w:rPr>
                <w:lang w:val="en-NZ"/>
              </w:rPr>
            </w:pPr>
            <w:r w:rsidRPr="00F81695">
              <w:t>make reports about energy efficiency.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Initiative and enterprise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ListBullet"/>
            </w:pPr>
            <w:r w:rsidRPr="00F81695">
              <w:t>find safer a</w:t>
            </w:r>
            <w:r w:rsidRPr="00F81695">
              <w:t>nd more energy efficient ways of working.</w:t>
            </w:r>
          </w:p>
        </w:tc>
      </w:tr>
    </w:tbl>
    <w:p w:rsidR="00000000" w:rsidRPr="00F81695" w:rsidP="00F81695">
      <w:pPr>
        <w:pStyle w:val="BodyText"/>
      </w:pP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7" w:name="O_972336"/>
      <w:bookmarkEnd w:id="7"/>
      <w:r w:rsidRPr="00F81695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F81695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rPr>
                <w:rStyle w:val="SpecialBold"/>
              </w:rPr>
              <w:t>Equivalence status</w:t>
            </w:r>
          </w:p>
        </w:tc>
      </w:tr>
      <w:tr w:rsidTr="00F81695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FWPCOT3263 Maintain and contribute to energy efficiency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FWPCOT3263 Maintain and contribute to energy efficiency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t>Equivalent unit</w:t>
            </w:r>
          </w:p>
        </w:tc>
      </w:tr>
    </w:tbl>
    <w:p w:rsidR="00000000" w:rsidRPr="00F81695" w:rsidP="00F81695">
      <w:pPr>
        <w:pStyle w:val="BodyText"/>
      </w:pP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8" w:name="O_972344"/>
      <w:bookmarkEnd w:id="8"/>
      <w:r w:rsidRPr="00F81695">
        <w:t>Links</w:t>
      </w:r>
    </w:p>
    <w:p w:rsidR="00000000" w:rsidRPr="00F81695" w:rsidP="00BD2772">
      <w:pPr>
        <w:pStyle w:val="BodyText"/>
      </w:pPr>
      <w:r w:rsidRPr="00F81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7E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1695" w:rsidP="00BD2772">
      <w:pPr>
        <w:pStyle w:val="BodyText"/>
        <w:sectPr w:rsidSect="00F816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1695" w:rsidP="00F81695">
      <w:pPr>
        <w:pStyle w:val="SuperHeading"/>
      </w:pPr>
      <w:r w:rsidRPr="00F81695">
        <w:t xml:space="preserve">Assessment Requirements for FWPCOT3263 Maintain and contribute </w:t>
      </w:r>
      <w:r w:rsidRPr="00F81695">
        <w:t>to energy efficiency</w:t>
      </w:r>
    </w:p>
    <w:p w:rsidR="00000000" w:rsidRPr="00F81695" w:rsidP="00F81695">
      <w:pPr>
        <w:pStyle w:val="Heading1"/>
      </w:pPr>
      <w:bookmarkStart w:id="9" w:name="O_972334"/>
      <w:bookmarkEnd w:id="9"/>
      <w:r w:rsidRPr="00F816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rPr>
                <w:rStyle w:val="SpecialBold"/>
              </w:rPr>
              <w:t>Comments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Release 2</w:t>
            </w:r>
            <w:r w:rsidRPr="00F81695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This version released with FWP Forest and Wood Products Training Package Version 3.0.</w:t>
            </w:r>
          </w:p>
        </w:tc>
      </w:tr>
      <w:tr w:rsidTr="00F81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95">
            <w:pPr>
              <w:pStyle w:val="BodyText"/>
              <w:rPr>
                <w:lang w:val="en-NZ"/>
              </w:rPr>
            </w:pPr>
            <w:r w:rsidRPr="00F816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95" w:rsidP="00F81695">
            <w:pPr>
              <w:pStyle w:val="BodyText"/>
            </w:pPr>
            <w:r w:rsidRPr="00F81695">
              <w:t>This version released with FWP Forest and Wood Products Training Package Version 2.0.</w:t>
            </w:r>
          </w:p>
        </w:tc>
      </w:tr>
    </w:tbl>
    <w:p w:rsidR="00000000" w:rsidRPr="00F81695" w:rsidP="00F81695">
      <w:pPr>
        <w:pStyle w:val="BodyText"/>
      </w:pP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10" w:name="O_972333"/>
      <w:bookmarkEnd w:id="10"/>
      <w:r w:rsidRPr="00F81695">
        <w:t>Performance Evidence</w:t>
      </w:r>
    </w:p>
    <w:p w:rsidR="00000000" w:rsidRPr="00F81695" w:rsidP="00BD2772">
      <w:pPr>
        <w:pStyle w:val="BodyText"/>
      </w:pPr>
      <w:r w:rsidRPr="00F81695">
        <w:t>A person demonstrating competency in this unit must satisfy all of the elements, performance criteria and foundation skills of thi</w:t>
      </w:r>
      <w:r w:rsidRPr="00F81695">
        <w:t>s unit.  If a specific volume or frequency is not stated below, then evidence must be provided that the following requirements have been performed on at least one occasion:</w:t>
      </w:r>
    </w:p>
    <w:p w:rsidR="00000000" w:rsidRPr="00F81695" w:rsidP="00F81695">
      <w:pPr>
        <w:pStyle w:val="ListBullet"/>
      </w:pPr>
      <w:r w:rsidRPr="00F81695">
        <w:t>follow organisational policies and procedures relevant to maintaining and contribu</w:t>
      </w:r>
      <w:r w:rsidRPr="00F81695">
        <w:t xml:space="preserve">ting to energy efficiency </w:t>
      </w:r>
    </w:p>
    <w:p w:rsidR="00000000" w:rsidRPr="00F81695" w:rsidP="00F81695">
      <w:pPr>
        <w:pStyle w:val="ListBullet"/>
      </w:pPr>
      <w:r w:rsidRPr="00F81695">
        <w:t>the safe use of relevant equipment to complete work tasks while optimising energy efficiency</w:t>
      </w:r>
    </w:p>
    <w:p w:rsidR="00000000" w:rsidRPr="00F81695" w:rsidP="00F81695">
      <w:pPr>
        <w:pStyle w:val="ListBullet"/>
      </w:pPr>
      <w:r w:rsidRPr="00F81695">
        <w:t>participating in processes to improve energy efficiency.</w:t>
      </w: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11" w:name="O_972332"/>
      <w:bookmarkEnd w:id="11"/>
      <w:r w:rsidRPr="00F81695">
        <w:t>Knowledge Evidence</w:t>
      </w:r>
    </w:p>
    <w:p w:rsidR="00000000" w:rsidRPr="00F81695" w:rsidP="00BD2772">
      <w:pPr>
        <w:pStyle w:val="BodyText"/>
      </w:pPr>
      <w:r w:rsidRPr="00F81695">
        <w:t>A person competent in this unit must be able to demonstrate knowledge of:</w:t>
      </w:r>
    </w:p>
    <w:p w:rsidR="00000000" w:rsidRPr="00F81695" w:rsidP="00F81695">
      <w:pPr>
        <w:pStyle w:val="ListBullet"/>
      </w:pPr>
      <w:r w:rsidRPr="00F81695">
        <w:t xml:space="preserve">organisational and site standards, requirements, policies and procedures relevant to maintaining and contributing to energy efficiency </w:t>
      </w:r>
    </w:p>
    <w:p w:rsidR="00000000" w:rsidRPr="00F81695" w:rsidP="00F81695">
      <w:pPr>
        <w:pStyle w:val="ListBullet"/>
      </w:pPr>
      <w:r w:rsidRPr="00F81695">
        <w:t>environmental protection requirements, includ</w:t>
      </w:r>
      <w:r w:rsidRPr="00F81695">
        <w:t>ing the safe disposal of waste material and site recycling, recovery and waste management procedures</w:t>
      </w:r>
    </w:p>
    <w:p w:rsidR="00000000" w:rsidRPr="00F81695" w:rsidP="00F81695">
      <w:pPr>
        <w:pStyle w:val="ListBullet"/>
      </w:pPr>
      <w:r w:rsidRPr="00F81695">
        <w:t>workplace communication channels, protocols and procedures</w:t>
      </w:r>
    </w:p>
    <w:p w:rsidR="00000000" w:rsidRPr="00F81695" w:rsidP="00F81695">
      <w:pPr>
        <w:pStyle w:val="ListBullet"/>
      </w:pPr>
      <w:r w:rsidRPr="00F81695">
        <w:t>role of forests, forestry and forest products in carbon capture and storage</w:t>
      </w:r>
    </w:p>
    <w:p w:rsidR="00000000" w:rsidRPr="00F81695" w:rsidP="00F81695">
      <w:pPr>
        <w:pStyle w:val="ListBullet"/>
      </w:pPr>
      <w:r w:rsidRPr="00F81695">
        <w:t>role of the forest a</w:t>
      </w:r>
      <w:r w:rsidRPr="00F81695">
        <w:t>nd timber products industry in minimising greenhouse emissions</w:t>
      </w:r>
    </w:p>
    <w:p w:rsidR="00000000" w:rsidRPr="00F81695" w:rsidP="00F81695">
      <w:pPr>
        <w:pStyle w:val="ListBullet"/>
      </w:pPr>
      <w:r w:rsidRPr="00F81695">
        <w:t>life cycle analysis of forests and forest products in comparison to other building materials.</w:t>
      </w: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12" w:name="O_972331"/>
      <w:bookmarkEnd w:id="12"/>
      <w:r w:rsidRPr="00F81695">
        <w:t>Assessment Conditions</w:t>
      </w:r>
    </w:p>
    <w:p w:rsidR="00000000" w:rsidRPr="00F81695" w:rsidP="00BD2772">
      <w:pPr>
        <w:pStyle w:val="BodyText"/>
      </w:pPr>
      <w:r w:rsidRPr="00F81695">
        <w:t>The following resources must be made available:</w:t>
      </w:r>
    </w:p>
    <w:p w:rsidR="00000000" w:rsidRPr="00F81695" w:rsidP="00F81695">
      <w:pPr>
        <w:pStyle w:val="ListBullet"/>
      </w:pPr>
      <w:r w:rsidRPr="00F81695">
        <w:t>policies an</w:t>
      </w:r>
      <w:r w:rsidRPr="00F81695">
        <w:t>d procedures relevant to energy efficiency.</w:t>
      </w:r>
    </w:p>
    <w:p w:rsidR="00000000" w:rsidRPr="00F81695" w:rsidP="00BD2772">
      <w:pPr>
        <w:pStyle w:val="BodyText"/>
      </w:pPr>
      <w:r w:rsidRPr="00F81695">
        <w:t xml:space="preserve">Competency is to be assessed in the workplace or a simulated environment that accurately reflects performance in a real workplace setting. </w:t>
      </w:r>
    </w:p>
    <w:p w:rsidR="00000000" w:rsidRPr="00F81695" w:rsidP="00BD2772">
      <w:pPr>
        <w:pStyle w:val="Heading3"/>
      </w:pPr>
      <w:r w:rsidRPr="00F81695">
        <w:rPr>
          <w:rStyle w:val="SpecialBold"/>
        </w:rPr>
        <w:t>Assessor requirements</w:t>
      </w:r>
    </w:p>
    <w:p w:rsidR="00000000" w:rsidRPr="00F81695" w:rsidP="00BD2772">
      <w:pPr>
        <w:pStyle w:val="BodyText"/>
      </w:pPr>
      <w:r w:rsidRPr="00F81695">
        <w:t>Assessors must:</w:t>
      </w:r>
    </w:p>
    <w:p w:rsidR="00000000" w:rsidRPr="00F81695" w:rsidP="00F81695">
      <w:pPr>
        <w:pStyle w:val="ListBullet"/>
      </w:pPr>
      <w:r w:rsidRPr="00F81695">
        <w:t>hold the appropriate assessor com</w:t>
      </w:r>
      <w:r w:rsidRPr="00F81695">
        <w:t>petency standards as outlined in the regulations; and</w:t>
      </w:r>
    </w:p>
    <w:p w:rsidR="00000000" w:rsidRPr="00F81695" w:rsidP="00F81695">
      <w:pPr>
        <w:pStyle w:val="ListBullet"/>
      </w:pPr>
      <w:r w:rsidRPr="00F81695">
        <w:t>be able to demonstrate vocational competencies at least to the level being assessed; and</w:t>
      </w:r>
    </w:p>
    <w:p w:rsidR="00000000" w:rsidRPr="00F81695" w:rsidP="00F81695">
      <w:pPr>
        <w:pStyle w:val="ListBullet"/>
      </w:pPr>
      <w:r w:rsidRPr="00F81695">
        <w:t>be able to demonstrate how they are continuing to develop their VET knowledge and skills as well as maintaining t</w:t>
      </w:r>
      <w:r w:rsidRPr="00F81695">
        <w:t>heir industry currency and assessor competence.</w:t>
      </w:r>
    </w:p>
    <w:p w:rsidR="00000000" w:rsidRPr="00F81695" w:rsidP="00F81695">
      <w:pPr>
        <w:pStyle w:val="AllowPageBreak"/>
      </w:pPr>
    </w:p>
    <w:p w:rsidR="00000000" w:rsidRPr="00F81695" w:rsidP="00F81695">
      <w:pPr>
        <w:pStyle w:val="Heading1"/>
      </w:pPr>
      <w:bookmarkStart w:id="13" w:name="O_972345"/>
      <w:bookmarkEnd w:id="13"/>
      <w:r w:rsidRPr="00F81695">
        <w:t>Links</w:t>
      </w:r>
    </w:p>
    <w:p w:rsidR="00000000" w:rsidRPr="00F81695" w:rsidP="00BD2772">
      <w:pPr>
        <w:pStyle w:val="BodyText"/>
      </w:pPr>
      <w:r w:rsidRPr="00F81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7E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1695" w:rsidP="00F81695"/>
    <w:sectPr w:rsidSect="00F816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 w:rsidRPr="00BD2772" w:rsidP="00BD2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2" w:rsidP="00F81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772" w:rsidP="00F81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2772" w:rsidP="00F816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 w:rsidP="00F81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2772">
      <w:t>Approved</w:t>
    </w:r>
    <w:r w:rsidR="00BD27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27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2772">
      <w:rPr>
        <w:noProof/>
      </w:rPr>
      <w:t>4</w:t>
    </w:r>
    <w:r>
      <w:rPr>
        <w:noProof/>
      </w:rPr>
      <w:fldChar w:fldCharType="end"/>
    </w:r>
  </w:p>
  <w:p w:rsidR="00F81695" w:rsidP="00F81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27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2772">
      <w:t>Skills Insight</w:t>
    </w:r>
    <w:r w:rsidR="00BD2772">
      <w:fldChar w:fldCharType="end"/>
    </w:r>
  </w:p>
  <w:p w:rsidR="00F81695" w:rsidP="00F81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695" w:rsidRPr="00BD2772" w:rsidP="00BD2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72" w:rsidRPr="002D2AF8" w:rsidP="00F81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FWPCOT3263 Maintain and contribute to energy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2772" w:rsidP="00F816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95" w:rsidRPr="002D2AF8" w:rsidP="00F81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2772">
      <w:t>FWPCOT3263 Maintain and contribute to energy efficiency</w:t>
    </w:r>
    <w:r w:rsidR="00BD27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2772">
      <w:rPr>
        <w:noProof/>
      </w:rPr>
      <w:t>2 March 2025</w:t>
    </w:r>
    <w:r>
      <w:fldChar w:fldCharType="end"/>
    </w:r>
  </w:p>
  <w:p w:rsidR="00F81695" w:rsidP="00F81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06E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C61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695"/>
  </w:style>
  <w:style w:type="character" w:customStyle="1" w:styleId="Heading1Char">
    <w:name w:val="Heading 1 Char"/>
    <w:basedOn w:val="DefaultParagraphFont"/>
    <w:link w:val="Heading1"/>
    <w:rsid w:val="00F81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695"/>
    <w:rPr>
      <w:b/>
      <w:spacing w:val="0"/>
    </w:rPr>
  </w:style>
  <w:style w:type="character" w:styleId="Emphasis">
    <w:name w:val="Emphasis"/>
    <w:basedOn w:val="DefaultParagraphFont"/>
    <w:qFormat/>
    <w:rsid w:val="00F81695"/>
    <w:rPr>
      <w:i/>
    </w:rPr>
  </w:style>
  <w:style w:type="paragraph" w:customStyle="1" w:styleId="SuperHeading">
    <w:name w:val="SuperHeading"/>
    <w:basedOn w:val="Normal"/>
    <w:rsid w:val="00F81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695"/>
  </w:style>
  <w:style w:type="paragraph" w:styleId="TableofFigures">
    <w:name w:val="table of figures"/>
    <w:basedOn w:val="Normal"/>
    <w:next w:val="Normal"/>
    <w:semiHidden/>
    <w:rsid w:val="00F81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695"/>
    <w:rPr>
      <w:rFonts w:ascii="Wingdings" w:hAnsi="Wingdings"/>
    </w:rPr>
  </w:style>
  <w:style w:type="paragraph" w:customStyle="1" w:styleId="TableHeading">
    <w:name w:val="Table Heading"/>
    <w:basedOn w:val="HeadingBase"/>
    <w:rsid w:val="00F81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695"/>
    <w:rPr>
      <w:color w:val="0033CC"/>
      <w:u w:val="none"/>
    </w:rPr>
  </w:style>
  <w:style w:type="paragraph" w:customStyle="1" w:styleId="BodyTextRight">
    <w:name w:val="Body Text Right"/>
    <w:basedOn w:val="BodyText"/>
    <w:rsid w:val="00F81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695"/>
    <w:rPr>
      <w:sz w:val="32"/>
    </w:rPr>
  </w:style>
  <w:style w:type="paragraph" w:customStyle="1" w:styleId="HeadingProcedure">
    <w:name w:val="Heading Procedure"/>
    <w:basedOn w:val="HeadingBase"/>
    <w:next w:val="Normal"/>
    <w:rsid w:val="00F81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695"/>
    <w:pPr>
      <w:spacing w:before="60" w:after="60"/>
    </w:pPr>
  </w:style>
  <w:style w:type="paragraph" w:styleId="ListContinue">
    <w:name w:val="List Continue"/>
    <w:basedOn w:val="List"/>
    <w:rsid w:val="00F81695"/>
    <w:pPr>
      <w:ind w:firstLine="0"/>
    </w:pPr>
  </w:style>
  <w:style w:type="paragraph" w:customStyle="1" w:styleId="ListNote">
    <w:name w:val="List Note"/>
    <w:basedOn w:val="List"/>
    <w:rsid w:val="00F81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695"/>
    <w:rPr>
      <w:rFonts w:ascii="Courier New" w:hAnsi="Courier New"/>
    </w:rPr>
  </w:style>
  <w:style w:type="paragraph" w:customStyle="1" w:styleId="NoteBullet">
    <w:name w:val="Note Bullet"/>
    <w:basedOn w:val="Note"/>
    <w:rsid w:val="00F81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695"/>
    <w:rPr>
      <w:b/>
      <w:smallCaps/>
    </w:rPr>
  </w:style>
  <w:style w:type="paragraph" w:customStyle="1" w:styleId="TableListNumber">
    <w:name w:val="Table List Number"/>
    <w:basedOn w:val="ListNumber"/>
    <w:rsid w:val="00F81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695"/>
    <w:pPr>
      <w:numPr>
        <w:numId w:val="8"/>
      </w:numPr>
    </w:pPr>
  </w:style>
  <w:style w:type="paragraph" w:customStyle="1" w:styleId="ListAlpha2">
    <w:name w:val="List Alpha 2"/>
    <w:basedOn w:val="List2"/>
    <w:rsid w:val="00F81695"/>
    <w:pPr>
      <w:numPr>
        <w:numId w:val="7"/>
      </w:numPr>
    </w:pPr>
  </w:style>
  <w:style w:type="paragraph" w:styleId="List2">
    <w:name w:val="List 2"/>
    <w:basedOn w:val="BodyText"/>
    <w:rsid w:val="00F81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695"/>
    <w:pPr>
      <w:numPr>
        <w:numId w:val="3"/>
      </w:numPr>
    </w:pPr>
  </w:style>
  <w:style w:type="paragraph" w:styleId="ListContinue2">
    <w:name w:val="List Continue 2"/>
    <w:basedOn w:val="List2"/>
    <w:rsid w:val="00F81695"/>
    <w:pPr>
      <w:ind w:firstLine="0"/>
    </w:pPr>
  </w:style>
  <w:style w:type="paragraph" w:styleId="ListContinue3">
    <w:name w:val="List Continue 3"/>
    <w:basedOn w:val="List3"/>
    <w:rsid w:val="00F81695"/>
    <w:pPr>
      <w:ind w:left="1021" w:firstLine="0"/>
    </w:pPr>
  </w:style>
  <w:style w:type="paragraph" w:styleId="ListContinue4">
    <w:name w:val="List Continue 4"/>
    <w:basedOn w:val="List4"/>
    <w:rsid w:val="00F81695"/>
    <w:pPr>
      <w:ind w:firstLine="0"/>
    </w:pPr>
  </w:style>
  <w:style w:type="paragraph" w:styleId="ListContinue5">
    <w:name w:val="List Continue 5"/>
    <w:basedOn w:val="List5"/>
    <w:rsid w:val="00F81695"/>
    <w:pPr>
      <w:ind w:firstLine="0"/>
    </w:pPr>
  </w:style>
  <w:style w:type="paragraph" w:styleId="ListNumber3">
    <w:name w:val="List Number 3"/>
    <w:basedOn w:val="List3"/>
    <w:rsid w:val="00F81695"/>
    <w:pPr>
      <w:numPr>
        <w:numId w:val="4"/>
      </w:numPr>
    </w:pPr>
  </w:style>
  <w:style w:type="paragraph" w:styleId="ListNumber4">
    <w:name w:val="List Number 4"/>
    <w:basedOn w:val="List4"/>
    <w:rsid w:val="00F81695"/>
    <w:pPr>
      <w:numPr>
        <w:numId w:val="5"/>
      </w:numPr>
    </w:pPr>
  </w:style>
  <w:style w:type="paragraph" w:styleId="ListNumber5">
    <w:name w:val="List Number 5"/>
    <w:basedOn w:val="List5"/>
    <w:rsid w:val="00F81695"/>
    <w:pPr>
      <w:numPr>
        <w:numId w:val="6"/>
      </w:numPr>
    </w:pPr>
  </w:style>
  <w:style w:type="paragraph" w:styleId="BlockText">
    <w:name w:val="Block Text"/>
    <w:basedOn w:val="Normal"/>
    <w:rsid w:val="00F81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695"/>
    <w:rPr>
      <w:sz w:val="16"/>
      <w:vertAlign w:val="superscript"/>
    </w:rPr>
  </w:style>
  <w:style w:type="character" w:customStyle="1" w:styleId="Symbols">
    <w:name w:val="Symbols"/>
    <w:basedOn w:val="DefaultParagraphFont"/>
    <w:rsid w:val="00F81695"/>
    <w:rPr>
      <w:rFonts w:ascii="Symbol" w:hAnsi="Symbol"/>
    </w:rPr>
  </w:style>
  <w:style w:type="character" w:customStyle="1" w:styleId="MenuOptions">
    <w:name w:val="Menu Options"/>
    <w:basedOn w:val="DefaultParagraphFont"/>
    <w:rsid w:val="00F81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695"/>
    <w:rPr>
      <w:b/>
    </w:rPr>
  </w:style>
  <w:style w:type="character" w:customStyle="1" w:styleId="Underlined">
    <w:name w:val="Underlined"/>
    <w:basedOn w:val="DefaultParagraphFont"/>
    <w:rsid w:val="00F81695"/>
    <w:rPr>
      <w:u w:val="single"/>
    </w:rPr>
  </w:style>
  <w:style w:type="paragraph" w:customStyle="1" w:styleId="TableBodyTextRight">
    <w:name w:val="Table Body Text Right"/>
    <w:basedOn w:val="TableBodyText"/>
    <w:rsid w:val="00F81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695"/>
    <w:rPr>
      <w:sz w:val="18"/>
    </w:rPr>
  </w:style>
  <w:style w:type="paragraph" w:customStyle="1" w:styleId="BodySmallRight">
    <w:name w:val="Body Small Right"/>
    <w:basedOn w:val="BodyTextRight"/>
    <w:rsid w:val="00F81695"/>
    <w:rPr>
      <w:sz w:val="18"/>
      <w:szCs w:val="18"/>
    </w:rPr>
  </w:style>
  <w:style w:type="paragraph" w:customStyle="1" w:styleId="MarginEdition">
    <w:name w:val="Margin Edition"/>
    <w:basedOn w:val="MarginNote"/>
    <w:rsid w:val="00F81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695"/>
    <w:rPr>
      <w:sz w:val="2"/>
      <w:szCs w:val="2"/>
    </w:rPr>
  </w:style>
  <w:style w:type="character" w:customStyle="1" w:styleId="Small">
    <w:name w:val="Small"/>
    <w:basedOn w:val="DefaultParagraphFont"/>
    <w:rsid w:val="00F81695"/>
    <w:rPr>
      <w:sz w:val="16"/>
    </w:rPr>
  </w:style>
  <w:style w:type="paragraph" w:customStyle="1" w:styleId="WideTable">
    <w:name w:val="Wide Table"/>
    <w:basedOn w:val="Normal"/>
    <w:rsid w:val="00F81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695"/>
  </w:style>
  <w:style w:type="paragraph" w:styleId="Quote">
    <w:name w:val="Quote"/>
    <w:basedOn w:val="Heading1"/>
    <w:link w:val="QuoteChar"/>
    <w:qFormat/>
    <w:rsid w:val="00F81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695"/>
    <w:pPr>
      <w:pageBreakBefore/>
    </w:pPr>
  </w:style>
  <w:style w:type="paragraph" w:customStyle="1" w:styleId="Border">
    <w:name w:val="Border"/>
    <w:basedOn w:val="Normal"/>
    <w:qFormat/>
    <w:rsid w:val="00F81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695"/>
    <w:rPr>
      <w:u w:val="single"/>
    </w:rPr>
  </w:style>
  <w:style w:type="character" w:customStyle="1" w:styleId="BoldandItalics">
    <w:name w:val="Bold and Italics"/>
    <w:qFormat/>
    <w:rsid w:val="00F81695"/>
    <w:rPr>
      <w:b/>
      <w:i/>
      <w:u w:val="none"/>
    </w:rPr>
  </w:style>
  <w:style w:type="paragraph" w:styleId="BalloonText">
    <w:name w:val="Balloon Text"/>
    <w:basedOn w:val="Normal"/>
    <w:link w:val="BalloonTextChar"/>
    <w:rsid w:val="00F81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695"/>
    <w:pPr>
      <w:spacing w:before="0" w:after="0"/>
    </w:pPr>
  </w:style>
  <w:style w:type="paragraph" w:customStyle="1" w:styleId="BodyTextBold">
    <w:name w:val="Body Text Bold"/>
    <w:basedOn w:val="BodyText"/>
    <w:qFormat/>
    <w:rsid w:val="00F81695"/>
    <w:rPr>
      <w:b/>
    </w:rPr>
  </w:style>
  <w:style w:type="character" w:styleId="Hyperlink">
    <w:name w:val="Hyperlink"/>
    <w:basedOn w:val="DefaultParagraphFont"/>
    <w:uiPriority w:val="99"/>
    <w:unhideWhenUsed/>
    <w:rsid w:val="00BD2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5299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FWPCOT3263 Maintain and contribute to energy efficiency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