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66E7" w:rsidP="00F566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FWPCOT3250 Prepare timber to meet import/export compliance requirements</w:t>
      </w:r>
      <w:r>
        <w:fldChar w:fldCharType="end"/>
      </w:r>
    </w:p>
    <w:p w:rsidR="00F566E7" w:rsidP="00F566E7">
      <w:pPr>
        <w:pStyle w:val="Version"/>
        <w:sectPr w:rsidSect="00CA71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120" w:rsidP="00CA7120">
      <w:pPr>
        <w:pStyle w:val="SuperHeading"/>
      </w:pPr>
      <w:r w:rsidRPr="00CA7120">
        <w:t>FWPCOT3250 Prepare timber to meet import/export compliance requirements</w:t>
      </w:r>
    </w:p>
    <w:p w:rsidR="00000000" w:rsidRPr="00CA7120" w:rsidP="00CA7120">
      <w:pPr>
        <w:pStyle w:val="Heading1"/>
      </w:pPr>
      <w:bookmarkStart w:id="1" w:name="O_912618"/>
      <w:bookmarkEnd w:id="1"/>
      <w:r w:rsidRPr="00CA712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566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20" w:rsidP="00CA7120">
            <w:pPr>
              <w:pStyle w:val="BodyText"/>
            </w:pPr>
            <w:r w:rsidRPr="00CA7120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20">
            <w:pPr>
              <w:pStyle w:val="BodyText"/>
              <w:rPr>
                <w:lang w:val="en-NZ"/>
              </w:rPr>
            </w:pPr>
            <w:r w:rsidRPr="00CA7120">
              <w:rPr>
                <w:rStyle w:val="SpecialBold"/>
              </w:rPr>
              <w:t>Comment</w:t>
            </w:r>
          </w:p>
        </w:tc>
      </w:tr>
      <w:tr w:rsidTr="00F566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20">
            <w:pPr>
              <w:pStyle w:val="BodyText"/>
              <w:rPr>
                <w:lang w:val="en-NZ"/>
              </w:rPr>
            </w:pPr>
            <w:r w:rsidRPr="00CA7120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20" w:rsidP="00CA7120">
            <w:pPr>
              <w:pStyle w:val="BodyText"/>
            </w:pPr>
            <w:r w:rsidRPr="00CA7120">
              <w:t>Replaces equivalent FPICOT3250A Prepare timber to meet import/export compliance requirements, which was first released with FPI11 Forest and Forest Products Training Package Version 1.</w:t>
            </w:r>
          </w:p>
          <w:p w:rsidR="00000000" w:rsidRPr="00CA7120" w:rsidP="00CA7120">
            <w:pPr>
              <w:pStyle w:val="BodyText"/>
            </w:pPr>
            <w:r w:rsidRPr="00CA7120">
              <w:t>This is the first release of this unit in the new standards format.</w:t>
            </w:r>
          </w:p>
        </w:tc>
      </w:tr>
    </w:tbl>
    <w:p w:rsidR="00000000" w:rsidRPr="00CA7120" w:rsidP="00CA7120">
      <w:pPr>
        <w:pStyle w:val="BodyText"/>
      </w:pPr>
    </w:p>
    <w:p w:rsidR="00000000" w:rsidRPr="00CA7120" w:rsidP="00CA7120">
      <w:pPr>
        <w:pStyle w:val="AllowPageBreak"/>
      </w:pPr>
    </w:p>
    <w:p w:rsidR="00000000" w:rsidRPr="00CA7120" w:rsidP="00CA7120">
      <w:pPr>
        <w:pStyle w:val="Heading1"/>
      </w:pPr>
      <w:bookmarkStart w:id="2" w:name="O_912619"/>
      <w:bookmarkEnd w:id="2"/>
      <w:r w:rsidRPr="00CA7120">
        <w:t>Application</w:t>
      </w:r>
    </w:p>
    <w:p w:rsidR="00000000" w:rsidRPr="00CA7120" w:rsidP="00F566E7">
      <w:pPr>
        <w:pStyle w:val="BodyText"/>
      </w:pPr>
      <w:r w:rsidRPr="00CA7120">
        <w:t>This unit of competency describes the outcomes required to ensure timber meets compliance requirements for import/export.</w:t>
      </w:r>
    </w:p>
    <w:p w:rsidR="00000000" w:rsidRPr="00CA7120" w:rsidP="00F566E7">
      <w:pPr>
        <w:pStyle w:val="BodyText"/>
      </w:pPr>
      <w:r w:rsidRPr="00CA7120">
        <w:t>The unit applies to those who assess timber for import/export requirements in a variety of work settings i</w:t>
      </w:r>
      <w:r w:rsidRPr="00CA7120">
        <w:t xml:space="preserve">ncluding: </w:t>
      </w:r>
    </w:p>
    <w:p w:rsidR="00000000" w:rsidRPr="00CA7120" w:rsidP="00CA7120">
      <w:pPr>
        <w:pStyle w:val="ListBullet2"/>
      </w:pPr>
      <w:r w:rsidRPr="00CA7120">
        <w:t>timber harvesting</w:t>
      </w:r>
    </w:p>
    <w:p w:rsidR="00000000" w:rsidRPr="00CA7120" w:rsidP="00CA7120">
      <w:pPr>
        <w:pStyle w:val="ListBullet2"/>
      </w:pPr>
      <w:r w:rsidRPr="00CA7120">
        <w:t>sawmill</w:t>
      </w:r>
    </w:p>
    <w:p w:rsidR="00000000" w:rsidRPr="00CA7120" w:rsidP="00CA7120">
      <w:pPr>
        <w:pStyle w:val="ListBullet2"/>
      </w:pPr>
      <w:r w:rsidRPr="00CA7120">
        <w:t>woodchip mill</w:t>
      </w:r>
    </w:p>
    <w:p w:rsidR="00000000" w:rsidRPr="00CA7120" w:rsidP="00CA7120">
      <w:pPr>
        <w:pStyle w:val="ListBullet2"/>
      </w:pPr>
      <w:r w:rsidRPr="00CA7120">
        <w:t>veneer mill</w:t>
      </w:r>
    </w:p>
    <w:p w:rsidR="00000000" w:rsidRPr="00CA7120" w:rsidP="00CA7120">
      <w:pPr>
        <w:pStyle w:val="ListBullet2"/>
      </w:pPr>
      <w:r w:rsidRPr="00CA7120">
        <w:t>board/plywood mill</w:t>
      </w:r>
    </w:p>
    <w:p w:rsidR="00000000" w:rsidRPr="00CA7120" w:rsidP="00CA7120">
      <w:pPr>
        <w:pStyle w:val="ListBullet2"/>
      </w:pPr>
      <w:r w:rsidRPr="00CA7120">
        <w:t>timber and wood products production</w:t>
      </w:r>
    </w:p>
    <w:p w:rsidR="00000000" w:rsidRPr="00CA7120" w:rsidP="00CA7120">
      <w:pPr>
        <w:pStyle w:val="ListBullet2"/>
      </w:pPr>
      <w:r w:rsidRPr="00CA7120">
        <w:t>timber and wood products sales and service.</w:t>
      </w:r>
    </w:p>
    <w:p w:rsidR="00000000" w:rsidRPr="00CA7120" w:rsidP="00F566E7">
      <w:pPr>
        <w:pStyle w:val="BodyText"/>
      </w:pPr>
      <w:r w:rsidRPr="00CA7120">
        <w:t xml:space="preserve">Licensing, legislative, regulatory or certification requirements apply to this unit in some states and territories at the time of publication, and may differ according to state or territory jurisdiction. </w:t>
      </w:r>
    </w:p>
    <w:p w:rsidR="00000000" w:rsidRPr="00CA7120" w:rsidP="00CA7120">
      <w:pPr>
        <w:pStyle w:val="Heading1"/>
      </w:pPr>
      <w:bookmarkStart w:id="3" w:name="O_912620"/>
      <w:bookmarkEnd w:id="3"/>
      <w:r w:rsidRPr="00CA7120">
        <w:t>Pre-requisite Unit</w:t>
      </w:r>
    </w:p>
    <w:p w:rsidR="00000000" w:rsidRPr="00CA7120" w:rsidP="00F566E7">
      <w:pPr>
        <w:pStyle w:val="BodyText"/>
      </w:pPr>
      <w:r w:rsidRPr="00CA7120">
        <w:t>Nil</w:t>
      </w:r>
    </w:p>
    <w:p w:rsidR="00000000" w:rsidRPr="00CA7120" w:rsidP="00CA7120">
      <w:pPr>
        <w:pStyle w:val="Heading1"/>
      </w:pPr>
      <w:bookmarkStart w:id="4" w:name="O_912622"/>
      <w:bookmarkEnd w:id="4"/>
      <w:r w:rsidRPr="00CA7120">
        <w:t>Unit Sector</w:t>
      </w:r>
    </w:p>
    <w:p w:rsidR="00000000" w:rsidRPr="00CA7120" w:rsidP="00F566E7">
      <w:pPr>
        <w:pStyle w:val="List"/>
      </w:pPr>
      <w:r w:rsidRPr="00CA7120">
        <w:t>Harvesting and Haulage</w:t>
      </w:r>
    </w:p>
    <w:p w:rsidR="00000000" w:rsidRPr="00CA7120" w:rsidP="00F566E7">
      <w:pPr>
        <w:pStyle w:val="List"/>
      </w:pPr>
      <w:r w:rsidRPr="00CA7120">
        <w:t>Sawmilling and Processing</w:t>
      </w:r>
    </w:p>
    <w:p w:rsidR="00000000" w:rsidRPr="00CA7120" w:rsidP="00F566E7">
      <w:pPr>
        <w:pStyle w:val="List"/>
      </w:pPr>
      <w:r w:rsidRPr="00CA7120">
        <w:t>Timber Manufactured Products</w:t>
      </w:r>
    </w:p>
    <w:p w:rsidR="00000000" w:rsidRPr="00CA7120" w:rsidP="00F566E7">
      <w:pPr>
        <w:pStyle w:val="List"/>
      </w:pPr>
      <w:r w:rsidRPr="00CA7120">
        <w:t>Timber Merchandising</w:t>
      </w:r>
    </w:p>
    <w:p w:rsidR="00000000" w:rsidRPr="00CA7120" w:rsidP="00CA7120">
      <w:pPr>
        <w:pStyle w:val="AllowPageBreak"/>
      </w:pPr>
    </w:p>
    <w:p w:rsidR="00000000" w:rsidRPr="00CA7120" w:rsidP="00CA7120">
      <w:pPr>
        <w:pStyle w:val="Heading1"/>
      </w:pPr>
      <w:bookmarkStart w:id="5" w:name="O_912623"/>
      <w:bookmarkEnd w:id="5"/>
      <w:r w:rsidRPr="00CA712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566E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20" w:rsidP="00CA7120">
            <w:pPr>
              <w:pStyle w:val="BodyText"/>
            </w:pPr>
            <w:r w:rsidRPr="00CA712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20">
            <w:pPr>
              <w:pStyle w:val="BodyText"/>
              <w:rPr>
                <w:lang w:val="en-NZ"/>
              </w:rPr>
            </w:pPr>
            <w:r w:rsidRPr="00CA7120">
              <w:rPr>
                <w:rStyle w:val="SpecialBold"/>
              </w:rPr>
              <w:t>PERFORMANCE CRITERIA</w:t>
            </w:r>
          </w:p>
        </w:tc>
      </w:tr>
      <w:tr w:rsidTr="00F566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20" w:rsidP="00CA7120">
            <w:pPr>
              <w:pStyle w:val="BodyText"/>
            </w:pPr>
            <w:r w:rsidRPr="00CA712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20">
            <w:pPr>
              <w:pStyle w:val="BodyText"/>
              <w:rPr>
                <w:lang w:val="en-NZ"/>
              </w:rPr>
            </w:pPr>
            <w:r w:rsidRPr="00CA7120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F566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20">
            <w:pPr>
              <w:pStyle w:val="BodyText"/>
              <w:rPr>
                <w:lang w:val="en-NZ"/>
              </w:rPr>
            </w:pPr>
            <w:r w:rsidRPr="00CA7120">
              <w:t>1. Review regulatory requirements for import/export of timber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20" w:rsidP="00CA7120">
            <w:pPr>
              <w:pStyle w:val="BodyText"/>
            </w:pPr>
            <w:r w:rsidRPr="00CA7120">
              <w:t>1</w:t>
            </w:r>
            <w:r w:rsidRPr="00CA7120">
              <w:t>.1 Identify and follow environmental legal requirements for preparing timber to meet import/export compliance requirements</w:t>
            </w:r>
            <w:r w:rsidRPr="00CA7120">
              <w:tab/>
            </w:r>
          </w:p>
          <w:p w:rsidR="00000000" w:rsidRPr="00CA7120" w:rsidP="00CA7120">
            <w:pPr>
              <w:pStyle w:val="BodyText"/>
            </w:pPr>
            <w:r w:rsidRPr="00CA7120">
              <w:t>1.2 Biosecurity requirements relevant to timber import/export are identified</w:t>
            </w:r>
          </w:p>
          <w:p w:rsidR="00000000" w:rsidRPr="00CA7120" w:rsidP="00CA7120">
            <w:pPr>
              <w:pStyle w:val="BodyText"/>
            </w:pPr>
            <w:r w:rsidRPr="00CA7120">
              <w:t>1.3 Confirm and interpret compliance requirements.</w:t>
            </w:r>
          </w:p>
          <w:p w:rsidR="00000000" w:rsidP="00CA7120">
            <w:pPr>
              <w:pStyle w:val="BodyText"/>
              <w:rPr>
                <w:lang w:val="en-NZ"/>
              </w:rPr>
            </w:pPr>
            <w:r w:rsidRPr="00CA7120">
              <w:t xml:space="preserve">1.4 </w:t>
            </w:r>
            <w:r w:rsidRPr="00CA7120">
              <w:t>Examine organisational compliance requirements for critical implications, risks and consequences of possible breaches.</w:t>
            </w:r>
          </w:p>
        </w:tc>
      </w:tr>
      <w:tr w:rsidTr="00F566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20">
            <w:pPr>
              <w:pStyle w:val="BodyText"/>
              <w:rPr>
                <w:lang w:val="en-NZ"/>
              </w:rPr>
            </w:pPr>
            <w:r w:rsidRPr="00CA7120">
              <w:t>2. Ensure timber compliance for import/export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20" w:rsidP="00CA7120">
            <w:pPr>
              <w:pStyle w:val="BodyText"/>
            </w:pPr>
            <w:r w:rsidRPr="00CA7120">
              <w:t>2.1 Identify timber for import/export and assess wood properties.</w:t>
            </w:r>
          </w:p>
          <w:p w:rsidR="00000000" w:rsidRPr="00CA7120" w:rsidP="00CA7120">
            <w:pPr>
              <w:pStyle w:val="BodyText"/>
            </w:pPr>
            <w:r w:rsidRPr="00CA7120">
              <w:t>2.2 Examine timber for identify biohazards associated with the particular species and undertake a risk assessment.</w:t>
            </w:r>
          </w:p>
          <w:p w:rsidR="00000000" w:rsidRPr="00CA7120" w:rsidP="00CA7120">
            <w:pPr>
              <w:pStyle w:val="BodyText"/>
            </w:pPr>
            <w:r w:rsidRPr="00CA7120">
              <w:t xml:space="preserve">2.3 Determine the need for timber treatment and arrange for any required treatments to be carried out. </w:t>
            </w:r>
          </w:p>
          <w:p w:rsidR="00000000" w:rsidP="00CA7120">
            <w:pPr>
              <w:pStyle w:val="BodyText"/>
              <w:rPr>
                <w:lang w:val="en-NZ"/>
              </w:rPr>
            </w:pPr>
            <w:r w:rsidRPr="00CA7120">
              <w:t>2.4 Establish the need for phytosanit</w:t>
            </w:r>
            <w:r w:rsidRPr="00CA7120">
              <w:t>ary certificates and arrange for procurement.</w:t>
            </w:r>
          </w:p>
        </w:tc>
      </w:tr>
      <w:tr w:rsidTr="00F566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20">
            <w:pPr>
              <w:pStyle w:val="BodyText"/>
              <w:rPr>
                <w:lang w:val="en-NZ"/>
              </w:rPr>
            </w:pPr>
            <w:r w:rsidRPr="00CA7120">
              <w:t>3. Document compliance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20" w:rsidP="00CA7120">
            <w:pPr>
              <w:pStyle w:val="BodyText"/>
            </w:pPr>
            <w:r w:rsidRPr="00CA7120">
              <w:t>3.1 Complete and check branding of timber in line with regulatory requirements.</w:t>
            </w:r>
          </w:p>
          <w:p w:rsidR="00000000" w:rsidRPr="00CA7120" w:rsidP="00CA7120">
            <w:pPr>
              <w:pStyle w:val="BodyText"/>
            </w:pPr>
            <w:r w:rsidRPr="00CA7120">
              <w:t>3.2 Obtain forest certification records and forward to relevant authorities.</w:t>
            </w:r>
          </w:p>
          <w:p w:rsidR="00000000" w:rsidRPr="00CA7120" w:rsidP="00CA7120">
            <w:pPr>
              <w:pStyle w:val="BodyText"/>
            </w:pPr>
            <w:r w:rsidRPr="00CA7120">
              <w:t>3.3 Complete com</w:t>
            </w:r>
            <w:r w:rsidRPr="00CA7120">
              <w:t>pliance records and reports and submit to appropriate internal and external personnel</w:t>
            </w:r>
          </w:p>
          <w:p w:rsidR="00000000" w:rsidRPr="00CA7120" w:rsidP="00CA7120">
            <w:pPr>
              <w:pStyle w:val="BodyText"/>
            </w:pPr>
            <w:r w:rsidRPr="00CA7120">
              <w:t>3.4 Report breaches of compliance to those with sufficient authority to correct them.</w:t>
            </w:r>
          </w:p>
        </w:tc>
      </w:tr>
    </w:tbl>
    <w:p w:rsidR="00000000" w:rsidRPr="00CA7120" w:rsidP="00CA7120">
      <w:pPr>
        <w:pStyle w:val="BodyText"/>
      </w:pPr>
    </w:p>
    <w:p w:rsidR="00000000" w:rsidRPr="00CA7120" w:rsidP="00CA7120">
      <w:pPr>
        <w:pStyle w:val="AllowPageBreak"/>
      </w:pPr>
    </w:p>
    <w:p w:rsidR="00000000" w:rsidRPr="00CA7120" w:rsidP="00CA7120">
      <w:pPr>
        <w:pStyle w:val="Heading1"/>
      </w:pPr>
      <w:bookmarkStart w:id="6" w:name="O_912624"/>
      <w:bookmarkEnd w:id="6"/>
      <w:r w:rsidRPr="00CA712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566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20">
            <w:pPr>
              <w:pStyle w:val="BodyText"/>
              <w:rPr>
                <w:lang w:val="en-NZ"/>
              </w:rPr>
            </w:pPr>
            <w:r w:rsidRPr="00CA7120">
              <w:t>This section describes those core and employmen</w:t>
            </w:r>
            <w:r w:rsidRPr="00CA7120">
              <w:t>t skills that are essential to performance and are not explicit in the performance criteria.</w:t>
            </w:r>
          </w:p>
        </w:tc>
      </w:tr>
      <w:tr w:rsidTr="00F566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20">
            <w:pPr>
              <w:pStyle w:val="BodyText"/>
              <w:rPr>
                <w:lang w:val="en-NZ"/>
              </w:rPr>
            </w:pPr>
            <w:r w:rsidRPr="00CA7120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20">
            <w:pPr>
              <w:pStyle w:val="ListBullet"/>
              <w:rPr>
                <w:lang w:val="en-NZ"/>
              </w:rPr>
            </w:pPr>
            <w:r w:rsidRPr="00CA7120">
              <w:t>interpret regulatory requirements and workplace documentation.</w:t>
            </w:r>
          </w:p>
        </w:tc>
      </w:tr>
      <w:tr w:rsidTr="00F566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20">
            <w:pPr>
              <w:pStyle w:val="BodyText"/>
              <w:rPr>
                <w:lang w:val="en-NZ"/>
              </w:rPr>
            </w:pPr>
            <w:r w:rsidRPr="00CA7120">
              <w:t xml:space="preserve">Oral communication </w:t>
            </w:r>
            <w:r w:rsidRPr="00CA7120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20">
            <w:pPr>
              <w:pStyle w:val="ListBullet"/>
              <w:rPr>
                <w:lang w:val="en-NZ"/>
              </w:rPr>
            </w:pPr>
            <w:r w:rsidRPr="00CA7120">
              <w:t xml:space="preserve">liaise with government and customs officials, customers and suppliers </w:t>
            </w:r>
            <w:r w:rsidRPr="00CA7120">
              <w:t>who are sometimes from different countries and cultures.</w:t>
            </w:r>
          </w:p>
        </w:tc>
      </w:tr>
      <w:tr w:rsidTr="00F566E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120">
            <w:pPr>
              <w:pStyle w:val="BodyText"/>
              <w:rPr>
                <w:lang w:val="en-NZ"/>
              </w:rPr>
            </w:pPr>
            <w:r w:rsidRPr="00CA7120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120" w:rsidP="00CA7120">
            <w:pPr>
              <w:pStyle w:val="ListBullet"/>
            </w:pPr>
            <w:r w:rsidRPr="00CA7120">
              <w:t>calculate timber volumes, costs and treatment strengths</w:t>
            </w:r>
            <w:r w:rsidRPr="00CA7120">
              <w:rPr>
                <w:rStyle w:val="SpecialBold"/>
              </w:rPr>
              <w:t>.</w:t>
            </w:r>
          </w:p>
        </w:tc>
      </w:tr>
    </w:tbl>
    <w:p w:rsidR="00000000" w:rsidRPr="00CA7120" w:rsidP="00CA7120">
      <w:pPr>
        <w:pStyle w:val="BodyText"/>
      </w:pPr>
    </w:p>
    <w:p w:rsidR="00000000" w:rsidRPr="00CA7120" w:rsidP="00CA7120">
      <w:pPr>
        <w:pStyle w:val="AllowPageBreak"/>
      </w:pPr>
    </w:p>
    <w:p w:rsidR="00000000" w:rsidRPr="00CA7120" w:rsidP="00CA7120">
      <w:pPr>
        <w:pStyle w:val="Heading1"/>
      </w:pPr>
      <w:bookmarkStart w:id="7" w:name="O_912625"/>
      <w:bookmarkEnd w:id="7"/>
      <w:r w:rsidRPr="00CA7120">
        <w:t>Range of Conditions</w:t>
      </w:r>
    </w:p>
    <w:p w:rsidR="00000000" w:rsidRPr="00CA7120" w:rsidP="00F566E7">
      <w:pPr>
        <w:pStyle w:val="BodyText"/>
      </w:pPr>
      <w:r w:rsidRPr="00CA7120">
        <w:t>Not Applicable</w:t>
      </w:r>
    </w:p>
    <w:p w:rsidR="00000000" w:rsidRPr="00CA7120" w:rsidP="00CA7120">
      <w:pPr>
        <w:pStyle w:val="Heading1"/>
      </w:pPr>
      <w:bookmarkStart w:id="8" w:name="O_912626"/>
      <w:bookmarkEnd w:id="8"/>
      <w:r w:rsidRPr="00CA7120">
        <w:t>Unit Mapping Information</w:t>
      </w:r>
    </w:p>
    <w:p w:rsidR="00000000" w:rsidRPr="00CA7120" w:rsidP="00F566E7">
      <w:pPr>
        <w:pStyle w:val="BodyText"/>
      </w:pPr>
      <w:r w:rsidRPr="00CA7120">
        <w:t>FPICOT3250A Prepare timber to meet import/export compliance requirements</w:t>
      </w:r>
    </w:p>
    <w:p w:rsidR="00000000" w:rsidRPr="00CA7120" w:rsidP="00CA7120">
      <w:pPr>
        <w:pStyle w:val="Heading1"/>
      </w:pPr>
      <w:bookmarkStart w:id="9" w:name="O_912633"/>
      <w:bookmarkEnd w:id="9"/>
      <w:r w:rsidRPr="00CA7120">
        <w:t>Links</w:t>
      </w:r>
    </w:p>
    <w:p w:rsidR="00000000" w:rsidRPr="00CA7120" w:rsidP="00F566E7">
      <w:pPr>
        <w:pStyle w:val="BodyText"/>
      </w:pPr>
      <w:r w:rsidRPr="00CA71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E27D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A7120" w:rsidP="00CA7120"/>
    <w:sectPr w:rsidSect="00CA712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20" w:rsidRPr="00F566E7" w:rsidP="00F566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E7" w:rsidP="00CA71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66E7" w:rsidP="00CA71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66E7" w:rsidP="00CA71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120" w:rsidRPr="00F566E7" w:rsidP="00F566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6E7" w:rsidRPr="002D2AF8" w:rsidP="00CA71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FWPCOT3250 Prepare timber to meet import/export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F566E7" w:rsidP="00CA71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7E37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E8CD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AAEF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1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1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1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1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1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1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1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1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1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1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1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120"/>
  </w:style>
  <w:style w:type="character" w:customStyle="1" w:styleId="Heading1Char">
    <w:name w:val="Heading 1 Char"/>
    <w:basedOn w:val="DefaultParagraphFont"/>
    <w:link w:val="Heading1"/>
    <w:rsid w:val="00CA71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1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1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12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120"/>
    <w:rPr>
      <w:b/>
      <w:spacing w:val="0"/>
    </w:rPr>
  </w:style>
  <w:style w:type="paragraph" w:styleId="ListBullet2">
    <w:name w:val="List Bullet 2"/>
    <w:basedOn w:val="List2"/>
    <w:rsid w:val="00CA712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A7120"/>
    <w:rPr>
      <w:i/>
    </w:rPr>
  </w:style>
  <w:style w:type="paragraph" w:customStyle="1" w:styleId="SuperHeading">
    <w:name w:val="SuperHeading"/>
    <w:basedOn w:val="Normal"/>
    <w:rsid w:val="00CA71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1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1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1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1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1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1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1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1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1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1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1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1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1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1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1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1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1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1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1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1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1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1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71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1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1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1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1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1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1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1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1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71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1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1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120"/>
  </w:style>
  <w:style w:type="paragraph" w:styleId="TableofFigures">
    <w:name w:val="table of figures"/>
    <w:basedOn w:val="Normal"/>
    <w:next w:val="Normal"/>
    <w:semiHidden/>
    <w:rsid w:val="00CA71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1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7120"/>
    <w:rPr>
      <w:rFonts w:ascii="Wingdings" w:hAnsi="Wingdings"/>
    </w:rPr>
  </w:style>
  <w:style w:type="paragraph" w:customStyle="1" w:styleId="TableHeading">
    <w:name w:val="Table Heading"/>
    <w:basedOn w:val="HeadingBase"/>
    <w:rsid w:val="00CA71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120"/>
    <w:rPr>
      <w:color w:val="0033CC"/>
      <w:u w:val="none"/>
    </w:rPr>
  </w:style>
  <w:style w:type="paragraph" w:customStyle="1" w:styleId="BodyTextRight">
    <w:name w:val="Body Text Right"/>
    <w:basedOn w:val="BodyText"/>
    <w:rsid w:val="00CA71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1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1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1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1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1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120"/>
    <w:rPr>
      <w:sz w:val="32"/>
    </w:rPr>
  </w:style>
  <w:style w:type="paragraph" w:customStyle="1" w:styleId="HeadingProcedure">
    <w:name w:val="Heading Procedure"/>
    <w:basedOn w:val="HeadingBase"/>
    <w:next w:val="Normal"/>
    <w:rsid w:val="00CA71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120"/>
    <w:pPr>
      <w:spacing w:before="60" w:after="60"/>
    </w:pPr>
  </w:style>
  <w:style w:type="paragraph" w:styleId="ListContinue">
    <w:name w:val="List Continue"/>
    <w:basedOn w:val="List"/>
    <w:rsid w:val="00CA7120"/>
    <w:pPr>
      <w:ind w:firstLine="0"/>
    </w:pPr>
  </w:style>
  <w:style w:type="paragraph" w:customStyle="1" w:styleId="ListNote">
    <w:name w:val="List Note"/>
    <w:basedOn w:val="List"/>
    <w:rsid w:val="00CA71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1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1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120"/>
    <w:rPr>
      <w:rFonts w:ascii="Courier New" w:hAnsi="Courier New"/>
    </w:rPr>
  </w:style>
  <w:style w:type="paragraph" w:customStyle="1" w:styleId="NoteBullet">
    <w:name w:val="Note Bullet"/>
    <w:basedOn w:val="Note"/>
    <w:rsid w:val="00CA71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1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1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1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1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71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1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120"/>
    <w:rPr>
      <w:b/>
      <w:smallCaps/>
    </w:rPr>
  </w:style>
  <w:style w:type="paragraph" w:customStyle="1" w:styleId="TableListNumber">
    <w:name w:val="Table List Number"/>
    <w:basedOn w:val="ListNumber"/>
    <w:rsid w:val="00CA71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1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120"/>
    <w:pPr>
      <w:numPr>
        <w:numId w:val="9"/>
      </w:numPr>
    </w:pPr>
  </w:style>
  <w:style w:type="paragraph" w:customStyle="1" w:styleId="ListAlpha2">
    <w:name w:val="List Alpha 2"/>
    <w:basedOn w:val="List2"/>
    <w:rsid w:val="00CA7120"/>
    <w:pPr>
      <w:numPr>
        <w:numId w:val="8"/>
      </w:numPr>
    </w:pPr>
  </w:style>
  <w:style w:type="paragraph" w:styleId="List2">
    <w:name w:val="List 2"/>
    <w:basedOn w:val="BodyText"/>
    <w:rsid w:val="00CA71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1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1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1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1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1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7120"/>
    <w:pPr>
      <w:numPr>
        <w:numId w:val="4"/>
      </w:numPr>
    </w:pPr>
  </w:style>
  <w:style w:type="paragraph" w:styleId="ListContinue2">
    <w:name w:val="List Continue 2"/>
    <w:basedOn w:val="List2"/>
    <w:rsid w:val="00CA7120"/>
    <w:pPr>
      <w:ind w:firstLine="0"/>
    </w:pPr>
  </w:style>
  <w:style w:type="paragraph" w:styleId="ListContinue3">
    <w:name w:val="List Continue 3"/>
    <w:basedOn w:val="List3"/>
    <w:rsid w:val="00CA7120"/>
    <w:pPr>
      <w:ind w:left="1021" w:firstLine="0"/>
    </w:pPr>
  </w:style>
  <w:style w:type="paragraph" w:styleId="ListContinue4">
    <w:name w:val="List Continue 4"/>
    <w:basedOn w:val="List4"/>
    <w:rsid w:val="00CA7120"/>
    <w:pPr>
      <w:ind w:firstLine="0"/>
    </w:pPr>
  </w:style>
  <w:style w:type="paragraph" w:styleId="ListContinue5">
    <w:name w:val="List Continue 5"/>
    <w:basedOn w:val="List5"/>
    <w:rsid w:val="00CA7120"/>
    <w:pPr>
      <w:ind w:firstLine="0"/>
    </w:pPr>
  </w:style>
  <w:style w:type="paragraph" w:styleId="ListNumber3">
    <w:name w:val="List Number 3"/>
    <w:basedOn w:val="List3"/>
    <w:rsid w:val="00CA7120"/>
    <w:pPr>
      <w:numPr>
        <w:numId w:val="5"/>
      </w:numPr>
    </w:pPr>
  </w:style>
  <w:style w:type="paragraph" w:styleId="ListNumber4">
    <w:name w:val="List Number 4"/>
    <w:basedOn w:val="List4"/>
    <w:rsid w:val="00CA7120"/>
    <w:pPr>
      <w:numPr>
        <w:numId w:val="6"/>
      </w:numPr>
    </w:pPr>
  </w:style>
  <w:style w:type="paragraph" w:styleId="ListNumber5">
    <w:name w:val="List Number 5"/>
    <w:basedOn w:val="List5"/>
    <w:rsid w:val="00CA7120"/>
    <w:pPr>
      <w:numPr>
        <w:numId w:val="7"/>
      </w:numPr>
    </w:pPr>
  </w:style>
  <w:style w:type="paragraph" w:styleId="BlockText">
    <w:name w:val="Block Text"/>
    <w:basedOn w:val="Normal"/>
    <w:rsid w:val="00CA71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1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120"/>
    <w:rPr>
      <w:sz w:val="16"/>
      <w:vertAlign w:val="superscript"/>
    </w:rPr>
  </w:style>
  <w:style w:type="character" w:customStyle="1" w:styleId="Symbols">
    <w:name w:val="Symbols"/>
    <w:basedOn w:val="DefaultParagraphFont"/>
    <w:rsid w:val="00CA7120"/>
    <w:rPr>
      <w:rFonts w:ascii="Symbol" w:hAnsi="Symbol"/>
    </w:rPr>
  </w:style>
  <w:style w:type="character" w:customStyle="1" w:styleId="MenuOptions">
    <w:name w:val="Menu Options"/>
    <w:basedOn w:val="DefaultParagraphFont"/>
    <w:rsid w:val="00CA71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120"/>
    <w:rPr>
      <w:b/>
    </w:rPr>
  </w:style>
  <w:style w:type="character" w:customStyle="1" w:styleId="Underlined">
    <w:name w:val="Underlined"/>
    <w:basedOn w:val="DefaultParagraphFont"/>
    <w:rsid w:val="00CA7120"/>
    <w:rPr>
      <w:u w:val="single"/>
    </w:rPr>
  </w:style>
  <w:style w:type="paragraph" w:customStyle="1" w:styleId="TableBodyTextRight">
    <w:name w:val="Table Body Text Right"/>
    <w:basedOn w:val="TableBodyText"/>
    <w:rsid w:val="00CA71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120"/>
    <w:rPr>
      <w:sz w:val="18"/>
    </w:rPr>
  </w:style>
  <w:style w:type="paragraph" w:customStyle="1" w:styleId="BodySmallRight">
    <w:name w:val="Body Small Right"/>
    <w:basedOn w:val="BodyTextRight"/>
    <w:rsid w:val="00CA7120"/>
    <w:rPr>
      <w:sz w:val="18"/>
      <w:szCs w:val="18"/>
    </w:rPr>
  </w:style>
  <w:style w:type="paragraph" w:customStyle="1" w:styleId="MarginEdition">
    <w:name w:val="Margin Edition"/>
    <w:basedOn w:val="MarginNote"/>
    <w:rsid w:val="00CA71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120"/>
    <w:rPr>
      <w:sz w:val="2"/>
      <w:szCs w:val="2"/>
    </w:rPr>
  </w:style>
  <w:style w:type="character" w:customStyle="1" w:styleId="Small">
    <w:name w:val="Small"/>
    <w:basedOn w:val="DefaultParagraphFont"/>
    <w:rsid w:val="00CA7120"/>
    <w:rPr>
      <w:sz w:val="16"/>
    </w:rPr>
  </w:style>
  <w:style w:type="paragraph" w:customStyle="1" w:styleId="WideTable">
    <w:name w:val="Wide Table"/>
    <w:basedOn w:val="Normal"/>
    <w:rsid w:val="00CA71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120"/>
  </w:style>
  <w:style w:type="paragraph" w:styleId="Quote">
    <w:name w:val="Quote"/>
    <w:basedOn w:val="Heading1"/>
    <w:link w:val="QuoteChar"/>
    <w:qFormat/>
    <w:rsid w:val="00CA71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1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120"/>
    <w:pPr>
      <w:pageBreakBefore/>
    </w:pPr>
  </w:style>
  <w:style w:type="paragraph" w:customStyle="1" w:styleId="Border">
    <w:name w:val="Border"/>
    <w:basedOn w:val="Normal"/>
    <w:qFormat/>
    <w:rsid w:val="00CA71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1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1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1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1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1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1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1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1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120"/>
    <w:rPr>
      <w:u w:val="single"/>
    </w:rPr>
  </w:style>
  <w:style w:type="character" w:customStyle="1" w:styleId="BoldandItalics">
    <w:name w:val="Bold and Italics"/>
    <w:qFormat/>
    <w:rsid w:val="00CA7120"/>
    <w:rPr>
      <w:b/>
      <w:i/>
      <w:u w:val="none"/>
    </w:rPr>
  </w:style>
  <w:style w:type="paragraph" w:styleId="BalloonText">
    <w:name w:val="Balloon Text"/>
    <w:basedOn w:val="Normal"/>
    <w:link w:val="BalloonTextChar"/>
    <w:rsid w:val="00CA71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1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1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1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1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1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120"/>
    <w:pPr>
      <w:spacing w:before="0" w:after="0"/>
    </w:pPr>
  </w:style>
  <w:style w:type="paragraph" w:customStyle="1" w:styleId="BodyTextBold">
    <w:name w:val="Body Text Bold"/>
    <w:basedOn w:val="BodyText"/>
    <w:qFormat/>
    <w:rsid w:val="00CA7120"/>
    <w:rPr>
      <w:b/>
    </w:rPr>
  </w:style>
  <w:style w:type="character" w:styleId="Hyperlink">
    <w:name w:val="Hyperlink"/>
    <w:basedOn w:val="DefaultParagraphFont"/>
    <w:uiPriority w:val="99"/>
    <w:unhideWhenUsed/>
    <w:rsid w:val="00F566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3189</Characters>
  <Application>Microsoft Office Word</Application>
  <DocSecurity>0</DocSecurity>
  <Lines>113</Lines>
  <Paragraphs>73</Paragraphs>
  <ScaleCrop>false</ScaleCrop>
  <Company>Author-it Software Corporation Ltd.</Company>
  <LinksUpToDate>false</LinksUpToDate>
  <CharactersWithSpaces>3594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FWPCOT3250 Prepare timber to meet import/export compliance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2020-01-31T07:06:00Z</dcterms:created>
  <dcterms:modified xsi:type="dcterms:W3CDTF">2020-01-31T07:06:00Z</dcterms:modified>
</cp:coreProperties>
</file>