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1E6E" w:rsidP="00D61E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FWPCOT3215 Swage and shape saw blades</w:t>
      </w:r>
      <w:r>
        <w:fldChar w:fldCharType="end"/>
      </w:r>
    </w:p>
    <w:p w:rsidR="00D61E6E" w:rsidP="00D61E6E">
      <w:pPr>
        <w:pStyle w:val="Version"/>
        <w:sectPr w:rsidSect="00B60A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0A36" w:rsidP="00B60A36">
      <w:pPr>
        <w:pStyle w:val="SuperHeading"/>
      </w:pPr>
      <w:r w:rsidRPr="00B60A36">
        <w:t>FWPCOT3215 Swage and shape saw blades</w:t>
      </w:r>
    </w:p>
    <w:p w:rsidR="00000000" w:rsidRPr="00B60A36" w:rsidP="00B60A36">
      <w:pPr>
        <w:pStyle w:val="Heading1"/>
      </w:pPr>
      <w:bookmarkStart w:id="1" w:name="O_911710"/>
      <w:bookmarkEnd w:id="1"/>
      <w:r w:rsidRPr="00B60A36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B60A36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A36" w:rsidP="00B60A36">
            <w:pPr>
              <w:pStyle w:val="BodyText"/>
            </w:pPr>
            <w:r w:rsidRPr="00B60A36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A36">
            <w:pPr>
              <w:pStyle w:val="BodyText"/>
              <w:rPr>
                <w:lang w:val="en-NZ"/>
              </w:rPr>
            </w:pPr>
            <w:r w:rsidRPr="00B60A36">
              <w:rPr>
                <w:rStyle w:val="SpecialBold"/>
              </w:rPr>
              <w:t>Comment</w:t>
            </w:r>
          </w:p>
        </w:tc>
      </w:tr>
      <w:tr w:rsidTr="00B60A36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A36">
            <w:pPr>
              <w:pStyle w:val="BodyText"/>
              <w:rPr>
                <w:lang w:val="en-NZ"/>
              </w:rPr>
            </w:pPr>
            <w:r w:rsidRPr="00B60A36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A36" w:rsidP="00B60A36">
            <w:pPr>
              <w:pStyle w:val="BodyText"/>
            </w:pPr>
            <w:r w:rsidRPr="00B60A36">
              <w:t xml:space="preserve">Replaces equivalent unit FPICOT3215B Swage and shape saw blades, which was first released with FPI11 Forest and Forest Products Training Package Version 2.2. </w:t>
            </w:r>
          </w:p>
          <w:p w:rsidR="00000000" w:rsidRPr="00B60A36" w:rsidP="00B60A36">
            <w:pPr>
              <w:pStyle w:val="BodyText"/>
            </w:pPr>
            <w:r w:rsidRPr="00B60A36">
              <w:t>This is the first release of this unit in the new standar</w:t>
            </w:r>
            <w:r w:rsidRPr="00B60A36">
              <w:t>ds format.</w:t>
            </w:r>
          </w:p>
        </w:tc>
      </w:tr>
    </w:tbl>
    <w:p w:rsidR="00000000" w:rsidRPr="00B60A36" w:rsidP="00B60A36">
      <w:pPr>
        <w:pStyle w:val="BodyText"/>
      </w:pPr>
    </w:p>
    <w:p w:rsidR="00000000" w:rsidRPr="00B60A36" w:rsidP="00B60A36">
      <w:pPr>
        <w:pStyle w:val="AllowPageBreak"/>
      </w:pPr>
    </w:p>
    <w:p w:rsidR="00000000" w:rsidRPr="00B60A36" w:rsidP="00B60A36">
      <w:pPr>
        <w:pStyle w:val="Heading1"/>
      </w:pPr>
      <w:bookmarkStart w:id="2" w:name="O_911711"/>
      <w:bookmarkEnd w:id="2"/>
      <w:r w:rsidRPr="00B60A36">
        <w:t>Application</w:t>
      </w:r>
    </w:p>
    <w:p w:rsidR="00000000" w:rsidRPr="00B60A36" w:rsidP="00D61E6E">
      <w:pPr>
        <w:pStyle w:val="BodyText"/>
      </w:pPr>
      <w:r w:rsidRPr="00B60A36">
        <w:t>This unit of competency describes the outcomes required to widen then press into shape, through a cold forming process, the cutting points of saw teeth to create a block that has the required hook, back, tangential</w:t>
      </w:r>
      <w:r w:rsidRPr="00B60A36">
        <w:t xml:space="preserve"> and radial clearance angles for efficient saw operation. Work is completed in a wood products factory setting.</w:t>
      </w:r>
    </w:p>
    <w:p w:rsidR="00000000" w:rsidRPr="00B60A36" w:rsidP="00D61E6E">
      <w:pPr>
        <w:pStyle w:val="BodyText"/>
      </w:pPr>
      <w:r w:rsidRPr="00B60A36">
        <w:t>The unit applies to Sawdoctor, Saw Repairer.</w:t>
      </w:r>
    </w:p>
    <w:p w:rsidR="00000000" w:rsidRPr="00B60A36" w:rsidP="00D61E6E">
      <w:pPr>
        <w:pStyle w:val="BodyText"/>
      </w:pPr>
      <w:r w:rsidRPr="00B60A36">
        <w:t>No licensing, legislative, regulatory, or certification requirements apply to this unit at the time</w:t>
      </w:r>
      <w:r w:rsidRPr="00B60A36">
        <w:t xml:space="preserve"> of publication.</w:t>
      </w:r>
    </w:p>
    <w:p w:rsidR="00000000" w:rsidRPr="00B60A36" w:rsidP="00B60A36">
      <w:pPr>
        <w:pStyle w:val="Heading1"/>
      </w:pPr>
      <w:bookmarkStart w:id="3" w:name="O_911712"/>
      <w:bookmarkEnd w:id="3"/>
      <w:r w:rsidRPr="00B60A36">
        <w:t>Pre-requisite Unit</w:t>
      </w:r>
    </w:p>
    <w:p w:rsidR="00000000" w:rsidRPr="00B60A36" w:rsidP="00D61E6E">
      <w:pPr>
        <w:pStyle w:val="BodyText"/>
      </w:pPr>
      <w:r w:rsidRPr="00B60A36">
        <w:t>Nil</w:t>
      </w:r>
    </w:p>
    <w:p w:rsidR="00000000" w:rsidRPr="00B60A36" w:rsidP="00B60A36">
      <w:pPr>
        <w:pStyle w:val="Heading1"/>
      </w:pPr>
      <w:bookmarkStart w:id="4" w:name="O_911714"/>
      <w:bookmarkEnd w:id="4"/>
      <w:r w:rsidRPr="00B60A36">
        <w:t>Unit Sector</w:t>
      </w:r>
    </w:p>
    <w:p w:rsidR="00000000" w:rsidRPr="00B60A36" w:rsidP="00D61E6E">
      <w:pPr>
        <w:pStyle w:val="BodyText"/>
      </w:pPr>
      <w:r w:rsidRPr="00B60A36">
        <w:t>Common Technical</w:t>
      </w:r>
    </w:p>
    <w:p w:rsidR="00000000" w:rsidRPr="00B60A36" w:rsidP="00B60A36">
      <w:pPr>
        <w:pStyle w:val="Heading1"/>
      </w:pPr>
      <w:bookmarkStart w:id="5" w:name="O_911715"/>
      <w:bookmarkEnd w:id="5"/>
      <w:r w:rsidRPr="00B60A3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61E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A36" w:rsidP="00B60A36">
            <w:pPr>
              <w:pStyle w:val="BodyText"/>
            </w:pPr>
            <w:r w:rsidRPr="00B60A3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A36">
            <w:pPr>
              <w:pStyle w:val="BodyText"/>
              <w:rPr>
                <w:lang w:val="en-NZ"/>
              </w:rPr>
            </w:pPr>
            <w:r w:rsidRPr="00B60A36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D61E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A36">
            <w:pPr>
              <w:pStyle w:val="BodyText"/>
              <w:rPr>
                <w:lang w:val="en-NZ"/>
              </w:rPr>
            </w:pPr>
            <w:r w:rsidRPr="00B60A36">
              <w:t>1. Set up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A36" w:rsidP="00B60A36">
            <w:pPr>
              <w:pStyle w:val="BodyText"/>
            </w:pPr>
            <w:r w:rsidRPr="00B60A36">
              <w:t>1.1 Review work order and where required ch</w:t>
            </w:r>
            <w:r w:rsidRPr="00B60A36">
              <w:t>eck with appropriate personnel.</w:t>
            </w:r>
          </w:p>
          <w:p w:rsidR="00000000" w:rsidRPr="00B60A36" w:rsidP="00B60A36">
            <w:pPr>
              <w:pStyle w:val="BodyText"/>
            </w:pPr>
            <w:r w:rsidRPr="00B60A36">
              <w:t>1.2 Identify required swage shape and thickness from existing saws and relevant records.</w:t>
            </w:r>
          </w:p>
          <w:p w:rsidR="00000000" w:rsidRPr="00B60A36" w:rsidP="00B60A36">
            <w:pPr>
              <w:pStyle w:val="BodyText"/>
            </w:pPr>
            <w:r w:rsidRPr="00B60A36">
              <w:t>1.3 Select appropriate personal protective and other equipment and check for operational effectiveness.</w:t>
            </w:r>
          </w:p>
          <w:p w:rsidR="00000000" w:rsidRPr="00B60A36" w:rsidP="00B60A36">
            <w:pPr>
              <w:pStyle w:val="BodyText"/>
            </w:pPr>
            <w:r w:rsidRPr="00B60A36">
              <w:t>1.4 Set up saw, swage and shapi</w:t>
            </w:r>
            <w:r w:rsidRPr="00B60A36">
              <w:t>ng equipment to meet production requirements.</w:t>
            </w:r>
          </w:p>
          <w:p w:rsidR="00000000" w:rsidRPr="00B60A36" w:rsidP="00B60A36">
            <w:pPr>
              <w:pStyle w:val="BodyText"/>
            </w:pPr>
            <w:r w:rsidRPr="00B60A36">
              <w:t>1.5 Check die or swage clamp or vice shape against required shape, clearances and kerf, and change as required.</w:t>
            </w:r>
          </w:p>
          <w:p w:rsidR="00000000" w:rsidRPr="00B60A36" w:rsidP="00B60A36">
            <w:pPr>
              <w:pStyle w:val="BodyText"/>
            </w:pPr>
            <w:r w:rsidRPr="00B60A36">
              <w:t>1.6 Secure saw in a swage clamp or vice or swager with teeth aligned to swager or vice shape.</w:t>
            </w:r>
          </w:p>
          <w:p w:rsidR="00000000" w:rsidP="00B60A36">
            <w:pPr>
              <w:pStyle w:val="BodyText"/>
              <w:rPr>
                <w:lang w:val="en-NZ"/>
              </w:rPr>
            </w:pPr>
            <w:r w:rsidRPr="00B60A36">
              <w:t xml:space="preserve">1.7 </w:t>
            </w:r>
            <w:r w:rsidRPr="00B60A36">
              <w:t>Apply anti-scuffing paste to areas of saw for swaging.</w:t>
            </w:r>
          </w:p>
        </w:tc>
      </w:tr>
      <w:tr w:rsidTr="00D61E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A36">
            <w:pPr>
              <w:pStyle w:val="BodyText"/>
              <w:rPr>
                <w:lang w:val="en-NZ"/>
              </w:rPr>
            </w:pPr>
            <w:r w:rsidRPr="00B60A36">
              <w:t>2. Swage teeth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A36" w:rsidP="00B60A36">
            <w:pPr>
              <w:pStyle w:val="BodyText"/>
            </w:pPr>
            <w:r w:rsidRPr="00B60A36">
              <w:t>2.1 Use equipment in line with organisational safety procedures, manufacturer’s instructions and environmental protection practices.</w:t>
            </w:r>
          </w:p>
          <w:p w:rsidR="00000000" w:rsidRPr="00B60A36" w:rsidP="00B60A36">
            <w:pPr>
              <w:pStyle w:val="BodyText"/>
            </w:pPr>
            <w:r w:rsidRPr="00B60A36">
              <w:t>2.2 Complete trial swage, check and adjust swaging setup.</w:t>
            </w:r>
          </w:p>
          <w:p w:rsidR="00000000" w:rsidRPr="00B60A36" w:rsidP="00B60A36">
            <w:pPr>
              <w:pStyle w:val="BodyText"/>
            </w:pPr>
            <w:r w:rsidRPr="00B60A36">
              <w:t>2.3 Accept or reject trialled material and dispose of in line with environmental protection practices.</w:t>
            </w:r>
          </w:p>
          <w:p w:rsidR="00000000" w:rsidRPr="00B60A36" w:rsidP="00B60A36">
            <w:pPr>
              <w:pStyle w:val="BodyText"/>
            </w:pPr>
            <w:r w:rsidRPr="00B60A36">
              <w:t>2.4 Inspect swage shape and thickness and measure for tangential and radial clearance and kerf.</w:t>
            </w:r>
          </w:p>
          <w:p w:rsidR="00000000" w:rsidRPr="00B60A36" w:rsidP="00B60A36">
            <w:pPr>
              <w:pStyle w:val="BodyText"/>
            </w:pPr>
            <w:r w:rsidRPr="00B60A36">
              <w:t>2.5 Adjust swaging operation to meet production specifications.</w:t>
            </w:r>
          </w:p>
          <w:p w:rsidR="00000000" w:rsidRPr="00B60A36" w:rsidP="00B60A36">
            <w:pPr>
              <w:pStyle w:val="BodyText"/>
            </w:pPr>
            <w:r w:rsidRPr="00B60A36">
              <w:t>2.6 Check dies for wear and adjust to ensure accurate operation.</w:t>
            </w:r>
          </w:p>
          <w:p w:rsidR="00000000" w:rsidP="00B60A36">
            <w:pPr>
              <w:pStyle w:val="BodyText"/>
              <w:rPr>
                <w:lang w:val="en-NZ"/>
              </w:rPr>
            </w:pPr>
            <w:r w:rsidRPr="00B60A36">
              <w:t>2.7 Swage remaining teeth in line with production and manufacturer specifications.</w:t>
            </w:r>
          </w:p>
        </w:tc>
      </w:tr>
      <w:tr w:rsidTr="00D61E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A36">
            <w:pPr>
              <w:pStyle w:val="BodyText"/>
              <w:rPr>
                <w:lang w:val="en-NZ"/>
              </w:rPr>
            </w:pPr>
            <w:r w:rsidRPr="00B60A36">
              <w:t>3. Shape teeth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A36" w:rsidP="00B60A36">
            <w:pPr>
              <w:pStyle w:val="BodyText"/>
            </w:pPr>
            <w:r w:rsidRPr="00B60A36">
              <w:t>3.1 File and shape excess m</w:t>
            </w:r>
            <w:r w:rsidRPr="00B60A36">
              <w:t>aterial resulting from swaging process.</w:t>
            </w:r>
          </w:p>
          <w:p w:rsidR="00000000" w:rsidRPr="00B60A36" w:rsidP="00B60A36">
            <w:pPr>
              <w:pStyle w:val="BodyText"/>
            </w:pPr>
            <w:r w:rsidRPr="00B60A36">
              <w:t xml:space="preserve">3.2 Complete trial shape and check tooth tolerances, adjusting as required. </w:t>
            </w:r>
          </w:p>
          <w:p w:rsidR="00000000" w:rsidRPr="00B60A36" w:rsidP="00B60A36">
            <w:pPr>
              <w:pStyle w:val="BodyText"/>
            </w:pPr>
            <w:r w:rsidRPr="00B60A36">
              <w:t>3.3 Accept or reject trialled material and dispose of in line with environmental protection practices.</w:t>
            </w:r>
          </w:p>
          <w:p w:rsidR="00000000" w:rsidRPr="00B60A36" w:rsidP="00B60A36">
            <w:pPr>
              <w:pStyle w:val="BodyText"/>
            </w:pPr>
            <w:r w:rsidRPr="00B60A36">
              <w:t>3.4 Assess shape and check tooth ali</w:t>
            </w:r>
            <w:r w:rsidRPr="00B60A36">
              <w:t>gnment, adjusting remaining teeth as required.</w:t>
            </w:r>
          </w:p>
          <w:p w:rsidR="00000000" w:rsidRPr="00B60A36" w:rsidP="00B60A36">
            <w:pPr>
              <w:pStyle w:val="BodyText"/>
            </w:pPr>
            <w:r w:rsidRPr="00B60A36">
              <w:t>3.5 Record and report processing problems and equipment faults to appropriate personnel.</w:t>
            </w:r>
          </w:p>
        </w:tc>
      </w:tr>
    </w:tbl>
    <w:p w:rsidR="00000000" w:rsidRPr="00B60A36" w:rsidP="00B60A36">
      <w:pPr>
        <w:pStyle w:val="BodyText"/>
      </w:pPr>
    </w:p>
    <w:p w:rsidR="00000000" w:rsidRPr="00B60A36" w:rsidP="00B60A36">
      <w:pPr>
        <w:pStyle w:val="AllowPageBreak"/>
      </w:pPr>
    </w:p>
    <w:p w:rsidR="00000000" w:rsidRPr="00B60A36" w:rsidP="00B60A36">
      <w:pPr>
        <w:pStyle w:val="Heading1"/>
      </w:pPr>
      <w:bookmarkStart w:id="6" w:name="O_911716"/>
      <w:bookmarkEnd w:id="6"/>
      <w:r w:rsidRPr="00B60A3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D61E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A36">
            <w:pPr>
              <w:pStyle w:val="BodyText"/>
              <w:rPr>
                <w:lang w:val="en-NZ"/>
              </w:rPr>
            </w:pPr>
            <w:r w:rsidRPr="00B60A36">
              <w:t>This section describes those core and employment skills that are essential to perfo</w:t>
            </w:r>
            <w:r w:rsidRPr="00B60A36">
              <w:t>rmance and are not explicit in the performance criteria.</w:t>
            </w:r>
          </w:p>
        </w:tc>
      </w:tr>
      <w:tr w:rsidTr="00D61E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A36">
            <w:pPr>
              <w:pStyle w:val="BodyText"/>
              <w:rPr>
                <w:lang w:val="en-NZ"/>
              </w:rPr>
            </w:pPr>
            <w:r w:rsidRPr="00B60A36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A36">
            <w:pPr>
              <w:pStyle w:val="ListBullet"/>
              <w:rPr>
                <w:lang w:val="en-NZ"/>
              </w:rPr>
            </w:pPr>
            <w:r w:rsidRPr="00B60A36">
              <w:t>complete precise calculations to swage and shape saw blades specified hook, back, tangential and radial clearance angles.</w:t>
            </w:r>
          </w:p>
        </w:tc>
      </w:tr>
      <w:tr w:rsidTr="00D61E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A36">
            <w:pPr>
              <w:pStyle w:val="BodyText"/>
              <w:rPr>
                <w:lang w:val="en-NZ"/>
              </w:rPr>
            </w:pPr>
            <w:r w:rsidRPr="00B60A36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A36">
            <w:pPr>
              <w:pStyle w:val="ListBullet"/>
              <w:rPr>
                <w:lang w:val="en-NZ"/>
              </w:rPr>
            </w:pPr>
            <w:r w:rsidRPr="00B60A36">
              <w:t>ask open and closed probe questions and actively listen to clarify contents of work orders.</w:t>
            </w:r>
          </w:p>
        </w:tc>
      </w:tr>
      <w:tr w:rsidTr="00D61E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A36">
            <w:pPr>
              <w:pStyle w:val="BodyText"/>
              <w:rPr>
                <w:lang w:val="en-NZ"/>
              </w:rPr>
            </w:pPr>
            <w:r w:rsidRPr="00B60A36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A36" w:rsidP="00B60A36">
            <w:pPr>
              <w:pStyle w:val="ListBullet"/>
            </w:pPr>
            <w:r w:rsidRPr="00B60A36">
              <w:t>interpret:</w:t>
            </w:r>
          </w:p>
          <w:p w:rsidR="00000000" w:rsidRPr="00B60A36" w:rsidP="00B60A36">
            <w:pPr>
              <w:pStyle w:val="ListBullet2"/>
            </w:pPr>
            <w:r w:rsidRPr="00B60A36">
              <w:t>workplace health and safety and other organisational procedures</w:t>
            </w:r>
          </w:p>
          <w:p w:rsidR="00000000" w:rsidRPr="00B60A36" w:rsidP="00B60A36">
            <w:pPr>
              <w:pStyle w:val="ListBullet2"/>
            </w:pPr>
            <w:r w:rsidRPr="00B60A36">
              <w:t>work orders</w:t>
            </w:r>
          </w:p>
          <w:p w:rsidR="00000000" w:rsidP="00B60A36">
            <w:pPr>
              <w:pStyle w:val="ListBullet2"/>
              <w:rPr>
                <w:lang w:val="en-NZ"/>
              </w:rPr>
            </w:pPr>
            <w:r w:rsidRPr="00B60A36">
              <w:t>manufacturers’</w:t>
            </w:r>
            <w:r w:rsidRPr="00B60A36">
              <w:t xml:space="preserve"> recommended specifications for swaging and shaping teeth.</w:t>
            </w:r>
          </w:p>
        </w:tc>
      </w:tr>
      <w:tr w:rsidTr="00D61E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A36">
            <w:pPr>
              <w:pStyle w:val="BodyText"/>
              <w:rPr>
                <w:lang w:val="en-NZ"/>
              </w:rPr>
            </w:pPr>
            <w:r w:rsidRPr="00B60A36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A36">
            <w:pPr>
              <w:pStyle w:val="ListBullet"/>
              <w:rPr>
                <w:lang w:val="en-NZ"/>
              </w:rPr>
            </w:pPr>
            <w:r w:rsidRPr="00B60A36">
              <w:t>complete basic accurate records for processing problems and equipment faults.</w:t>
            </w:r>
          </w:p>
        </w:tc>
      </w:tr>
      <w:tr w:rsidTr="00D61E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A36">
            <w:pPr>
              <w:pStyle w:val="BodyText"/>
              <w:rPr>
                <w:lang w:val="en-NZ"/>
              </w:rPr>
            </w:pPr>
            <w:r w:rsidRPr="00B60A36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A36" w:rsidP="00B60A36">
            <w:pPr>
              <w:pStyle w:val="ListBullet"/>
            </w:pPr>
            <w:r w:rsidRPr="00B60A36">
              <w:t xml:space="preserve">efficiently </w:t>
            </w:r>
            <w:r w:rsidRPr="00B60A36">
              <w:t>and logically sequence the stages of preparation and production using work order to guide activities.</w:t>
            </w:r>
          </w:p>
        </w:tc>
      </w:tr>
    </w:tbl>
    <w:p w:rsidR="00000000" w:rsidRPr="00B60A36" w:rsidP="00B60A36">
      <w:pPr>
        <w:pStyle w:val="BodyText"/>
      </w:pPr>
    </w:p>
    <w:p w:rsidR="00000000" w:rsidRPr="00B60A36" w:rsidP="00B60A36">
      <w:pPr>
        <w:pStyle w:val="AllowPageBreak"/>
      </w:pPr>
    </w:p>
    <w:p w:rsidR="00000000" w:rsidRPr="00B60A36" w:rsidP="00B60A36">
      <w:pPr>
        <w:pStyle w:val="Heading1"/>
      </w:pPr>
      <w:bookmarkStart w:id="7" w:name="O_911717"/>
      <w:bookmarkEnd w:id="7"/>
      <w:r w:rsidRPr="00B60A36">
        <w:t>Range of Conditions</w:t>
      </w:r>
    </w:p>
    <w:p w:rsidR="00000000" w:rsidRPr="00B60A36" w:rsidP="00D61E6E">
      <w:pPr>
        <w:pStyle w:val="BodyText"/>
      </w:pPr>
      <w:r w:rsidRPr="00B60A36">
        <w:t>Not Applicable</w:t>
      </w:r>
    </w:p>
    <w:p w:rsidR="00000000" w:rsidRPr="00B60A36" w:rsidP="00B60A36">
      <w:pPr>
        <w:pStyle w:val="Heading1"/>
      </w:pPr>
      <w:bookmarkStart w:id="8" w:name="O_911718"/>
      <w:bookmarkEnd w:id="8"/>
      <w:r w:rsidRPr="00B60A36">
        <w:t>Unit Mapping Information</w:t>
      </w:r>
    </w:p>
    <w:p w:rsidR="00000000" w:rsidRPr="00B60A36" w:rsidP="00D61E6E">
      <w:pPr>
        <w:pStyle w:val="BodyText"/>
      </w:pPr>
      <w:r w:rsidRPr="00B60A36">
        <w:t>FPICOT3215B Swage and shape saw blades</w:t>
      </w:r>
    </w:p>
    <w:p w:rsidR="00000000" w:rsidRPr="00B60A36" w:rsidP="00B60A36">
      <w:pPr>
        <w:pStyle w:val="Heading1"/>
      </w:pPr>
      <w:bookmarkStart w:id="9" w:name="O_911725"/>
      <w:bookmarkEnd w:id="9"/>
      <w:r w:rsidRPr="00B60A36">
        <w:t>Links</w:t>
      </w:r>
    </w:p>
    <w:p w:rsidR="00000000" w:rsidRPr="00B60A36" w:rsidP="00D61E6E">
      <w:pPr>
        <w:pStyle w:val="BodyText"/>
      </w:pPr>
      <w:r w:rsidRPr="00B60A3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D77C8F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B60A36" w:rsidP="00B60A36"/>
    <w:sectPr w:rsidSect="00B60A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A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A36" w:rsidRPr="00D61E6E" w:rsidP="00D61E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A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E6E" w:rsidP="00B60A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1E6E" w:rsidP="00B60A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61E6E" w:rsidP="00B60A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A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E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0A36" w:rsidRPr="00D61E6E" w:rsidP="00D61E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A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E6E" w:rsidRPr="002D2AF8" w:rsidP="00B60A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FWPCOT3215 Swage and shape saw blades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D61E6E" w:rsidP="00B60A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AA5C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CAFD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18CE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A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0A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0A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0A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0A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0A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0A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0A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0A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0A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0A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0A36"/>
  </w:style>
  <w:style w:type="character" w:customStyle="1" w:styleId="Heading1Char">
    <w:name w:val="Heading 1 Char"/>
    <w:basedOn w:val="DefaultParagraphFont"/>
    <w:link w:val="Heading1"/>
    <w:rsid w:val="00B60A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0A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0A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0A3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0A36"/>
    <w:rPr>
      <w:b/>
      <w:spacing w:val="0"/>
    </w:rPr>
  </w:style>
  <w:style w:type="paragraph" w:styleId="ListBullet2">
    <w:name w:val="List Bullet 2"/>
    <w:basedOn w:val="List2"/>
    <w:rsid w:val="00B60A3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60A36"/>
    <w:rPr>
      <w:i/>
    </w:rPr>
  </w:style>
  <w:style w:type="paragraph" w:customStyle="1" w:styleId="SuperHeading">
    <w:name w:val="SuperHeading"/>
    <w:basedOn w:val="Normal"/>
    <w:rsid w:val="00B60A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0A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0A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0A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0A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0A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0A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0A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0A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0A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0A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0A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0A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0A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0A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0A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0A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0A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0A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0A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0A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0A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0A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0A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0A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0A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0A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0A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0A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0A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0A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0A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0A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0A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0A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0A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0A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0A36"/>
  </w:style>
  <w:style w:type="paragraph" w:styleId="TableofFigures">
    <w:name w:val="table of figures"/>
    <w:basedOn w:val="Normal"/>
    <w:next w:val="Normal"/>
    <w:semiHidden/>
    <w:rsid w:val="00B60A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0A36"/>
    <w:pPr>
      <w:numPr>
        <w:numId w:val="11"/>
      </w:numPr>
    </w:pPr>
  </w:style>
  <w:style w:type="character" w:customStyle="1" w:styleId="WingdingSymbols">
    <w:name w:val="Wingding Symbols"/>
    <w:rsid w:val="00B60A36"/>
    <w:rPr>
      <w:rFonts w:ascii="Wingdings" w:hAnsi="Wingdings"/>
    </w:rPr>
  </w:style>
  <w:style w:type="paragraph" w:customStyle="1" w:styleId="TableHeading">
    <w:name w:val="Table Heading"/>
    <w:basedOn w:val="HeadingBase"/>
    <w:rsid w:val="00B60A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0A36"/>
    <w:rPr>
      <w:color w:val="0033CC"/>
      <w:u w:val="none"/>
    </w:rPr>
  </w:style>
  <w:style w:type="paragraph" w:customStyle="1" w:styleId="BodyTextRight">
    <w:name w:val="Body Text Right"/>
    <w:basedOn w:val="BodyText"/>
    <w:rsid w:val="00B60A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0A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0A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0A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0A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0A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0A36"/>
    <w:rPr>
      <w:sz w:val="32"/>
    </w:rPr>
  </w:style>
  <w:style w:type="paragraph" w:customStyle="1" w:styleId="HeadingProcedure">
    <w:name w:val="Heading Procedure"/>
    <w:basedOn w:val="HeadingBase"/>
    <w:next w:val="Normal"/>
    <w:rsid w:val="00B60A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0A36"/>
    <w:pPr>
      <w:spacing w:before="60" w:after="60"/>
    </w:pPr>
  </w:style>
  <w:style w:type="paragraph" w:styleId="ListContinue">
    <w:name w:val="List Continue"/>
    <w:basedOn w:val="List"/>
    <w:rsid w:val="00B60A36"/>
    <w:pPr>
      <w:ind w:firstLine="0"/>
    </w:pPr>
  </w:style>
  <w:style w:type="paragraph" w:customStyle="1" w:styleId="ListNote">
    <w:name w:val="List Note"/>
    <w:basedOn w:val="List"/>
    <w:rsid w:val="00B60A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0A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0A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0A36"/>
    <w:rPr>
      <w:rFonts w:ascii="Courier New" w:hAnsi="Courier New"/>
    </w:rPr>
  </w:style>
  <w:style w:type="paragraph" w:customStyle="1" w:styleId="NoteBullet">
    <w:name w:val="Note Bullet"/>
    <w:basedOn w:val="Note"/>
    <w:rsid w:val="00B60A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0A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0A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0A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0A3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60A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0A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0A36"/>
    <w:rPr>
      <w:b/>
      <w:smallCaps/>
    </w:rPr>
  </w:style>
  <w:style w:type="paragraph" w:customStyle="1" w:styleId="TableListNumber">
    <w:name w:val="Table List Number"/>
    <w:basedOn w:val="ListNumber"/>
    <w:rsid w:val="00B60A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0A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0A36"/>
    <w:pPr>
      <w:numPr>
        <w:numId w:val="9"/>
      </w:numPr>
    </w:pPr>
  </w:style>
  <w:style w:type="paragraph" w:customStyle="1" w:styleId="ListAlpha2">
    <w:name w:val="List Alpha 2"/>
    <w:basedOn w:val="List2"/>
    <w:rsid w:val="00B60A36"/>
    <w:pPr>
      <w:numPr>
        <w:numId w:val="8"/>
      </w:numPr>
    </w:pPr>
  </w:style>
  <w:style w:type="paragraph" w:styleId="List2">
    <w:name w:val="List 2"/>
    <w:basedOn w:val="BodyText"/>
    <w:rsid w:val="00B60A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0A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0A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0A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0A3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0A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0A36"/>
    <w:pPr>
      <w:numPr>
        <w:numId w:val="4"/>
      </w:numPr>
    </w:pPr>
  </w:style>
  <w:style w:type="paragraph" w:styleId="ListContinue2">
    <w:name w:val="List Continue 2"/>
    <w:basedOn w:val="List2"/>
    <w:rsid w:val="00B60A36"/>
    <w:pPr>
      <w:ind w:firstLine="0"/>
    </w:pPr>
  </w:style>
  <w:style w:type="paragraph" w:styleId="ListContinue3">
    <w:name w:val="List Continue 3"/>
    <w:basedOn w:val="List3"/>
    <w:rsid w:val="00B60A36"/>
    <w:pPr>
      <w:ind w:left="1021" w:firstLine="0"/>
    </w:pPr>
  </w:style>
  <w:style w:type="paragraph" w:styleId="ListContinue4">
    <w:name w:val="List Continue 4"/>
    <w:basedOn w:val="List4"/>
    <w:rsid w:val="00B60A36"/>
    <w:pPr>
      <w:ind w:firstLine="0"/>
    </w:pPr>
  </w:style>
  <w:style w:type="paragraph" w:styleId="ListContinue5">
    <w:name w:val="List Continue 5"/>
    <w:basedOn w:val="List5"/>
    <w:rsid w:val="00B60A36"/>
    <w:pPr>
      <w:ind w:firstLine="0"/>
    </w:pPr>
  </w:style>
  <w:style w:type="paragraph" w:styleId="ListNumber3">
    <w:name w:val="List Number 3"/>
    <w:basedOn w:val="List3"/>
    <w:rsid w:val="00B60A36"/>
    <w:pPr>
      <w:numPr>
        <w:numId w:val="5"/>
      </w:numPr>
    </w:pPr>
  </w:style>
  <w:style w:type="paragraph" w:styleId="ListNumber4">
    <w:name w:val="List Number 4"/>
    <w:basedOn w:val="List4"/>
    <w:rsid w:val="00B60A36"/>
    <w:pPr>
      <w:numPr>
        <w:numId w:val="6"/>
      </w:numPr>
    </w:pPr>
  </w:style>
  <w:style w:type="paragraph" w:styleId="ListNumber5">
    <w:name w:val="List Number 5"/>
    <w:basedOn w:val="List5"/>
    <w:rsid w:val="00B60A36"/>
    <w:pPr>
      <w:numPr>
        <w:numId w:val="7"/>
      </w:numPr>
    </w:pPr>
  </w:style>
  <w:style w:type="paragraph" w:styleId="BlockText">
    <w:name w:val="Block Text"/>
    <w:basedOn w:val="Normal"/>
    <w:rsid w:val="00B60A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0A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0A36"/>
    <w:rPr>
      <w:sz w:val="16"/>
      <w:vertAlign w:val="superscript"/>
    </w:rPr>
  </w:style>
  <w:style w:type="character" w:customStyle="1" w:styleId="Symbols">
    <w:name w:val="Symbols"/>
    <w:basedOn w:val="DefaultParagraphFont"/>
    <w:rsid w:val="00B60A36"/>
    <w:rPr>
      <w:rFonts w:ascii="Symbol" w:hAnsi="Symbol"/>
    </w:rPr>
  </w:style>
  <w:style w:type="character" w:customStyle="1" w:styleId="MenuOptions">
    <w:name w:val="Menu Options"/>
    <w:basedOn w:val="DefaultParagraphFont"/>
    <w:rsid w:val="00B60A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0A36"/>
    <w:rPr>
      <w:b/>
    </w:rPr>
  </w:style>
  <w:style w:type="character" w:customStyle="1" w:styleId="Underlined">
    <w:name w:val="Underlined"/>
    <w:basedOn w:val="DefaultParagraphFont"/>
    <w:rsid w:val="00B60A36"/>
    <w:rPr>
      <w:u w:val="single"/>
    </w:rPr>
  </w:style>
  <w:style w:type="paragraph" w:customStyle="1" w:styleId="TableBodyTextRight">
    <w:name w:val="Table Body Text Right"/>
    <w:basedOn w:val="TableBodyText"/>
    <w:rsid w:val="00B60A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0A36"/>
    <w:rPr>
      <w:sz w:val="18"/>
    </w:rPr>
  </w:style>
  <w:style w:type="paragraph" w:customStyle="1" w:styleId="BodySmallRight">
    <w:name w:val="Body Small Right"/>
    <w:basedOn w:val="BodyTextRight"/>
    <w:rsid w:val="00B60A36"/>
    <w:rPr>
      <w:sz w:val="18"/>
      <w:szCs w:val="18"/>
    </w:rPr>
  </w:style>
  <w:style w:type="paragraph" w:customStyle="1" w:styleId="MarginEdition">
    <w:name w:val="Margin Edition"/>
    <w:basedOn w:val="MarginNote"/>
    <w:rsid w:val="00B60A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0A36"/>
    <w:rPr>
      <w:sz w:val="2"/>
      <w:szCs w:val="2"/>
    </w:rPr>
  </w:style>
  <w:style w:type="character" w:customStyle="1" w:styleId="Small">
    <w:name w:val="Small"/>
    <w:basedOn w:val="DefaultParagraphFont"/>
    <w:rsid w:val="00B60A36"/>
    <w:rPr>
      <w:sz w:val="16"/>
    </w:rPr>
  </w:style>
  <w:style w:type="paragraph" w:customStyle="1" w:styleId="WideTable">
    <w:name w:val="Wide Table"/>
    <w:basedOn w:val="Normal"/>
    <w:rsid w:val="00B60A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0A36"/>
  </w:style>
  <w:style w:type="paragraph" w:styleId="Quote">
    <w:name w:val="Quote"/>
    <w:basedOn w:val="Heading1"/>
    <w:link w:val="QuoteChar"/>
    <w:qFormat/>
    <w:rsid w:val="00B60A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0A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0A36"/>
    <w:pPr>
      <w:pageBreakBefore/>
    </w:pPr>
  </w:style>
  <w:style w:type="paragraph" w:customStyle="1" w:styleId="Border">
    <w:name w:val="Border"/>
    <w:basedOn w:val="Normal"/>
    <w:qFormat/>
    <w:rsid w:val="00B60A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0A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A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A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0A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0A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0A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0A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0A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0A36"/>
    <w:rPr>
      <w:u w:val="single"/>
    </w:rPr>
  </w:style>
  <w:style w:type="character" w:customStyle="1" w:styleId="BoldandItalics">
    <w:name w:val="Bold and Italics"/>
    <w:qFormat/>
    <w:rsid w:val="00B60A36"/>
    <w:rPr>
      <w:b/>
      <w:i/>
      <w:u w:val="none"/>
    </w:rPr>
  </w:style>
  <w:style w:type="paragraph" w:styleId="BalloonText">
    <w:name w:val="Balloon Text"/>
    <w:basedOn w:val="Normal"/>
    <w:link w:val="BalloonTextChar"/>
    <w:rsid w:val="00B60A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0A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0A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0A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0A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0A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0A3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61E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3564</Characters>
  <Application>Microsoft Office Word</Application>
  <DocSecurity>0</DocSecurity>
  <Lines>114</Lines>
  <Paragraphs>77</Paragraphs>
  <ScaleCrop>false</ScaleCrop>
  <Company>Author-it Software Corporation Ltd.</Company>
  <LinksUpToDate>false</LinksUpToDate>
  <CharactersWithSpaces>4083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FWPCOT3215 Swage and shape saw blades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2018-12-18T04:49:00Z</dcterms:created>
  <dcterms:modified xsi:type="dcterms:W3CDTF">2018-12-18T04:49:00Z</dcterms:modified>
</cp:coreProperties>
</file>