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2AD8" w:rsidP="00A02A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FWPCOT3215 Swage and shape saw blades</w:t>
      </w:r>
      <w:r>
        <w:fldChar w:fldCharType="end"/>
      </w:r>
    </w:p>
    <w:p w:rsidR="00A02AD8" w:rsidP="00A02AD8">
      <w:pPr>
        <w:pStyle w:val="Version"/>
        <w:sectPr w:rsidSect="00EC66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6690" w:rsidP="00EC6690">
      <w:pPr>
        <w:pStyle w:val="SuperHeading"/>
      </w:pPr>
      <w:r w:rsidRPr="00EC6690">
        <w:t>Assessment Requirements for FWPCOT3215 Swage and shape saw blades</w:t>
      </w:r>
    </w:p>
    <w:p w:rsidR="00000000" w:rsidRPr="00EC6690" w:rsidP="00EC6690">
      <w:pPr>
        <w:pStyle w:val="Heading1"/>
      </w:pPr>
      <w:bookmarkStart w:id="1" w:name="O_911720"/>
      <w:bookmarkEnd w:id="1"/>
      <w:r w:rsidRPr="00EC6690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EC6690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690" w:rsidP="00EC6690">
            <w:pPr>
              <w:pStyle w:val="BodyText"/>
            </w:pPr>
            <w:r w:rsidRPr="00EC6690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690">
            <w:pPr>
              <w:pStyle w:val="BodyText"/>
              <w:rPr>
                <w:lang w:val="en-NZ"/>
              </w:rPr>
            </w:pPr>
            <w:r w:rsidRPr="00EC6690">
              <w:rPr>
                <w:rStyle w:val="SpecialBold"/>
              </w:rPr>
              <w:t>Comment</w:t>
            </w:r>
          </w:p>
        </w:tc>
      </w:tr>
      <w:tr w:rsidTr="00EC6690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690">
            <w:pPr>
              <w:pStyle w:val="BodyText"/>
              <w:rPr>
                <w:lang w:val="en-NZ"/>
              </w:rPr>
            </w:pPr>
            <w:r w:rsidRPr="00EC6690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690" w:rsidP="00EC6690">
            <w:pPr>
              <w:pStyle w:val="BodyText"/>
            </w:pPr>
            <w:r w:rsidRPr="00EC6690">
              <w:t>Replaces equivalent unit FPICOT3215B Swage and shape saw blades whi</w:t>
            </w:r>
            <w:r w:rsidRPr="00EC6690">
              <w:t>ch was first released with FPI11 Forest and Forest Products Training Package Version 2.2. This is the first release of this unit in the new standards format.</w:t>
            </w:r>
          </w:p>
          <w:p w:rsidR="00000000" w:rsidRPr="00EC6690" w:rsidP="00EC6690">
            <w:pPr>
              <w:pStyle w:val="BodyText"/>
            </w:pPr>
            <w:r w:rsidRPr="00EC6690">
              <w:t xml:space="preserve">Assessment requirements now specify the performance and knowledge evidence, as well as assessment </w:t>
            </w:r>
            <w:r w:rsidRPr="00EC6690">
              <w:t>conditions for this unit of competency.  These sections simplify and replace components used in the previous unit format, including Required Skills and Knowledge, Evidence Guide and Range Statement</w:t>
            </w:r>
          </w:p>
        </w:tc>
      </w:tr>
    </w:tbl>
    <w:p w:rsidR="00000000" w:rsidRPr="00EC6690" w:rsidP="00EC6690">
      <w:pPr>
        <w:pStyle w:val="BodyText"/>
      </w:pPr>
    </w:p>
    <w:p w:rsidR="00000000" w:rsidRPr="00EC6690" w:rsidP="00EC6690">
      <w:pPr>
        <w:pStyle w:val="AllowPageBreak"/>
      </w:pPr>
    </w:p>
    <w:p w:rsidR="00000000" w:rsidRPr="00EC6690" w:rsidP="00EC6690">
      <w:pPr>
        <w:pStyle w:val="Heading1"/>
      </w:pPr>
      <w:bookmarkStart w:id="2" w:name="O_911721"/>
      <w:bookmarkEnd w:id="2"/>
      <w:r w:rsidRPr="00EC6690">
        <w:t>Performance Evidence</w:t>
      </w:r>
    </w:p>
    <w:p w:rsidR="00000000" w:rsidRPr="00EC6690" w:rsidP="00A02AD8">
      <w:pPr>
        <w:pStyle w:val="BodyText"/>
      </w:pPr>
      <w:r w:rsidRPr="00EC6690">
        <w:t>A person demonstra</w:t>
      </w:r>
      <w:r w:rsidRPr="00EC6690">
        <w:t>ting competency in this unit must satisfy all of the elements, performance criteria and foundation skills of this unit.  If a specific volume or frequency is not stated below, then evidence must be provided that the following requirements have been perform</w:t>
      </w:r>
      <w:r w:rsidRPr="00EC6690">
        <w:t>ed on at least one occasion:</w:t>
      </w:r>
    </w:p>
    <w:p w:rsidR="00000000" w:rsidRPr="00EC6690" w:rsidP="00EC6690">
      <w:pPr>
        <w:pStyle w:val="ListBullet"/>
      </w:pPr>
      <w:r w:rsidRPr="00EC6690">
        <w:t>follow organisational policies and procedures relevant to swaging and shaping saw blades</w:t>
      </w:r>
    </w:p>
    <w:p w:rsidR="00000000" w:rsidRPr="00EC6690" w:rsidP="00EC6690">
      <w:pPr>
        <w:pStyle w:val="ListBullet"/>
      </w:pPr>
      <w:r w:rsidRPr="00EC6690">
        <w:t xml:space="preserve">inspect kerf and swage block to assess both as part of the setup procedures for swaging and shaping </w:t>
      </w:r>
    </w:p>
    <w:p w:rsidR="00000000" w:rsidRPr="00EC6690" w:rsidP="00EC6690">
      <w:pPr>
        <w:pStyle w:val="ListBullet"/>
      </w:pPr>
      <w:r w:rsidRPr="00EC6690">
        <w:t>swage and shape teeth in line with organisational requirements and specifications</w:t>
      </w:r>
    </w:p>
    <w:p w:rsidR="00000000" w:rsidRPr="00EC6690" w:rsidP="00EC6690">
      <w:pPr>
        <w:pStyle w:val="AllowPageBreak"/>
      </w:pPr>
    </w:p>
    <w:p w:rsidR="00000000" w:rsidRPr="00EC6690" w:rsidP="00EC6690">
      <w:pPr>
        <w:pStyle w:val="Heading1"/>
      </w:pPr>
      <w:bookmarkStart w:id="3" w:name="O_911722"/>
      <w:bookmarkEnd w:id="3"/>
      <w:r w:rsidRPr="00EC6690">
        <w:t>Knowledge Evidence</w:t>
      </w:r>
    </w:p>
    <w:p w:rsidR="00000000" w:rsidRPr="00EC6690" w:rsidP="00A02AD8">
      <w:pPr>
        <w:pStyle w:val="BodyText"/>
      </w:pPr>
      <w:r w:rsidRPr="00EC6690">
        <w:t>A person competent in this unit must be able to demonstrate knowledge of:</w:t>
      </w:r>
    </w:p>
    <w:p w:rsidR="00000000" w:rsidRPr="00EC6690" w:rsidP="00EC6690">
      <w:pPr>
        <w:pStyle w:val="ListBullet"/>
      </w:pPr>
      <w:r w:rsidRPr="00EC6690">
        <w:t>purpose, features and operation of circular, band and gang saws</w:t>
      </w:r>
      <w:r w:rsidRPr="00EC6690">
        <w:t xml:space="preserve"> for which saw blades are shaped and swaged</w:t>
      </w:r>
    </w:p>
    <w:p w:rsidR="00000000" w:rsidRPr="00EC6690" w:rsidP="00EC6690">
      <w:pPr>
        <w:pStyle w:val="ListBullet"/>
      </w:pPr>
      <w:r w:rsidRPr="00EC6690">
        <w:t>features and names of different parts of circular, band and gang saw blades</w:t>
      </w:r>
    </w:p>
    <w:p w:rsidR="00000000" w:rsidRPr="00EC6690" w:rsidP="00EC6690">
      <w:pPr>
        <w:pStyle w:val="ListBullet"/>
      </w:pPr>
      <w:r w:rsidRPr="00EC6690">
        <w:t>purpose, features and operation of tools and equipment used to shape and swage blades:</w:t>
      </w:r>
    </w:p>
    <w:p w:rsidR="00000000" w:rsidRPr="00EC6690" w:rsidP="00EC6690">
      <w:pPr>
        <w:pStyle w:val="ListBullet2"/>
      </w:pPr>
      <w:r w:rsidRPr="00EC6690">
        <w:t>swagers</w:t>
      </w:r>
    </w:p>
    <w:p w:rsidR="00000000" w:rsidRPr="00EC6690" w:rsidP="00EC6690">
      <w:pPr>
        <w:pStyle w:val="ListBullet2"/>
      </w:pPr>
      <w:r w:rsidRPr="00EC6690">
        <w:t>swage clamps or vices</w:t>
      </w:r>
    </w:p>
    <w:p w:rsidR="00000000" w:rsidRPr="00EC6690" w:rsidP="00EC6690">
      <w:pPr>
        <w:pStyle w:val="ListBullet2"/>
      </w:pPr>
      <w:r w:rsidRPr="00EC6690">
        <w:t>dies</w:t>
      </w:r>
    </w:p>
    <w:p w:rsidR="00000000" w:rsidRPr="00EC6690" w:rsidP="00EC6690">
      <w:pPr>
        <w:pStyle w:val="ListBullet2"/>
      </w:pPr>
      <w:r w:rsidRPr="00EC6690">
        <w:t>measuring equ</w:t>
      </w:r>
      <w:r w:rsidRPr="00EC6690">
        <w:t>ipment</w:t>
      </w:r>
    </w:p>
    <w:p w:rsidR="00000000" w:rsidRPr="00EC6690" w:rsidP="00EC6690">
      <w:pPr>
        <w:pStyle w:val="ListBullet"/>
      </w:pPr>
      <w:r w:rsidRPr="00EC6690">
        <w:t>importance of swaging and shaping saw blades to match requirements for:</w:t>
      </w:r>
    </w:p>
    <w:p w:rsidR="00000000" w:rsidRPr="00EC6690" w:rsidP="00EC6690">
      <w:pPr>
        <w:pStyle w:val="ListBullet2"/>
      </w:pPr>
      <w:r w:rsidRPr="00EC6690">
        <w:t>characteristics of various materials sawn</w:t>
      </w:r>
    </w:p>
    <w:p w:rsidR="00000000" w:rsidRPr="00EC6690" w:rsidP="00EC6690">
      <w:pPr>
        <w:pStyle w:val="ListBullet2"/>
      </w:pPr>
      <w:r w:rsidRPr="00EC6690">
        <w:t>speed of the sawing process</w:t>
      </w:r>
    </w:p>
    <w:p w:rsidR="00000000" w:rsidRPr="00EC6690" w:rsidP="00EC6690">
      <w:pPr>
        <w:pStyle w:val="ListBullet2"/>
      </w:pPr>
      <w:r w:rsidRPr="00EC6690">
        <w:t>direction of the sawing process</w:t>
      </w:r>
    </w:p>
    <w:p w:rsidR="00000000" w:rsidRPr="00EC6690" w:rsidP="00EC6690">
      <w:pPr>
        <w:pStyle w:val="ListBullet2"/>
      </w:pPr>
      <w:r w:rsidRPr="00EC6690">
        <w:t>cutting angle for sawing</w:t>
      </w:r>
    </w:p>
    <w:p w:rsidR="00000000" w:rsidRPr="00EC6690" w:rsidP="00EC6690">
      <w:pPr>
        <w:pStyle w:val="ListBullet2"/>
      </w:pPr>
      <w:r w:rsidRPr="00EC6690">
        <w:t>saw blade specifications</w:t>
      </w:r>
    </w:p>
    <w:p w:rsidR="00000000" w:rsidRPr="00EC6690" w:rsidP="00EC6690">
      <w:pPr>
        <w:pStyle w:val="ListBullet"/>
      </w:pPr>
      <w:r w:rsidRPr="00EC6690">
        <w:t>techniques used to swage and shape saw teeth to specified hook, back, tangential and radial clearance angles</w:t>
      </w:r>
    </w:p>
    <w:p w:rsidR="00000000" w:rsidRPr="00EC6690" w:rsidP="00EC6690">
      <w:pPr>
        <w:pStyle w:val="ListBullet"/>
      </w:pPr>
      <w:r w:rsidRPr="00EC6690">
        <w:t>industry standard and organisational tolerances</w:t>
      </w:r>
    </w:p>
    <w:p w:rsidR="00000000" w:rsidRPr="00EC6690" w:rsidP="00EC6690">
      <w:pPr>
        <w:pStyle w:val="ListBullet"/>
      </w:pPr>
      <w:r w:rsidRPr="00EC6690">
        <w:t>organisational procedures specific to swaging and shaping saw blades:</w:t>
      </w:r>
    </w:p>
    <w:p w:rsidR="00000000" w:rsidRPr="00EC6690" w:rsidP="00EC6690">
      <w:pPr>
        <w:pStyle w:val="ListBullet2"/>
      </w:pPr>
      <w:r w:rsidRPr="00EC6690">
        <w:t xml:space="preserve">workplace health and safety </w:t>
      </w:r>
      <w:r w:rsidRPr="00EC6690">
        <w:t>with particular emphasis on equipment lock out and use of personal protective equipment</w:t>
      </w:r>
    </w:p>
    <w:p w:rsidR="00000000" w:rsidRPr="00EC6690" w:rsidP="00EC6690">
      <w:pPr>
        <w:pStyle w:val="ListBullet2"/>
      </w:pPr>
      <w:r w:rsidRPr="00EC6690">
        <w:t>communication reporting lines</w:t>
      </w:r>
    </w:p>
    <w:p w:rsidR="00000000" w:rsidRPr="00EC6690" w:rsidP="00EC6690">
      <w:pPr>
        <w:pStyle w:val="ListBullet2"/>
      </w:pPr>
      <w:r w:rsidRPr="00EC6690">
        <w:t>recording and reporting processing problems and equipment faults.</w:t>
      </w:r>
    </w:p>
    <w:p w:rsidR="00000000" w:rsidRPr="00EC6690" w:rsidP="00EC6690">
      <w:pPr>
        <w:pStyle w:val="ListBullet"/>
      </w:pPr>
      <w:r w:rsidRPr="00EC6690">
        <w:t xml:space="preserve">environmental protection practices for repairing and maintaining tools </w:t>
      </w:r>
      <w:r w:rsidRPr="00EC6690">
        <w:t>and equipment in forest products factory settings:</w:t>
      </w:r>
    </w:p>
    <w:p w:rsidR="00000000" w:rsidRPr="00EC6690" w:rsidP="00EC6690">
      <w:pPr>
        <w:pStyle w:val="ListBullet2"/>
      </w:pPr>
      <w:r w:rsidRPr="00EC6690">
        <w:t>reducing water and energy use</w:t>
      </w:r>
    </w:p>
    <w:p w:rsidR="00000000" w:rsidRPr="00EC6690" w:rsidP="00EC6690">
      <w:pPr>
        <w:pStyle w:val="ListBullet2"/>
      </w:pPr>
      <w:r w:rsidRPr="00EC6690">
        <w:t>cleaning plant, tools and equipment</w:t>
      </w:r>
    </w:p>
    <w:p w:rsidR="00000000" w:rsidRPr="00EC6690" w:rsidP="00EC6690">
      <w:pPr>
        <w:pStyle w:val="ListBullet2"/>
      </w:pPr>
      <w:r w:rsidRPr="00EC6690">
        <w:t>disposing of, recycling and reusing materials</w:t>
      </w:r>
    </w:p>
    <w:p w:rsidR="00000000" w:rsidRPr="00EC6690" w:rsidP="00EC6690">
      <w:pPr>
        <w:pStyle w:val="AllowPageBreak"/>
      </w:pPr>
    </w:p>
    <w:p w:rsidR="00000000" w:rsidRPr="00EC6690" w:rsidP="00EC6690">
      <w:pPr>
        <w:pStyle w:val="Heading1"/>
      </w:pPr>
      <w:bookmarkStart w:id="4" w:name="O_911723"/>
      <w:bookmarkEnd w:id="4"/>
      <w:r w:rsidRPr="00EC6690">
        <w:t>Assessment Conditions</w:t>
      </w:r>
    </w:p>
    <w:p w:rsidR="00000000" w:rsidRPr="00EC6690" w:rsidP="00A02AD8">
      <w:pPr>
        <w:pStyle w:val="BodyText"/>
      </w:pPr>
      <w:r w:rsidRPr="00EC6690">
        <w:t>The following resources must be made available:</w:t>
      </w:r>
    </w:p>
    <w:p w:rsidR="00000000" w:rsidRPr="00EC6690" w:rsidP="00EC6690">
      <w:pPr>
        <w:pStyle w:val="ListBullet"/>
      </w:pPr>
      <w:r w:rsidRPr="00EC6690">
        <w:t>tools and equipment used to swage and shape saw blades:</w:t>
      </w:r>
    </w:p>
    <w:p w:rsidR="00000000" w:rsidRPr="00EC6690" w:rsidP="00EC6690">
      <w:pPr>
        <w:pStyle w:val="ListBullet2"/>
      </w:pPr>
      <w:r w:rsidRPr="00EC6690">
        <w:t>swagers</w:t>
      </w:r>
    </w:p>
    <w:p w:rsidR="00000000" w:rsidRPr="00EC6690" w:rsidP="00EC6690">
      <w:pPr>
        <w:pStyle w:val="ListBullet2"/>
      </w:pPr>
      <w:r w:rsidRPr="00EC6690">
        <w:t>swage clamps or vices</w:t>
      </w:r>
    </w:p>
    <w:p w:rsidR="00000000" w:rsidRPr="00EC6690" w:rsidP="00EC6690">
      <w:pPr>
        <w:pStyle w:val="ListBullet2"/>
      </w:pPr>
      <w:r w:rsidRPr="00EC6690">
        <w:t>dies</w:t>
      </w:r>
    </w:p>
    <w:p w:rsidR="00000000" w:rsidRPr="00EC6690" w:rsidP="00EC6690">
      <w:pPr>
        <w:pStyle w:val="ListBullet"/>
      </w:pPr>
      <w:r w:rsidRPr="00EC6690">
        <w:t>measuring equipment including one or more of the following:</w:t>
      </w:r>
    </w:p>
    <w:p w:rsidR="00000000" w:rsidRPr="00EC6690" w:rsidP="00EC6690">
      <w:pPr>
        <w:pStyle w:val="ListBullet2"/>
      </w:pPr>
      <w:r w:rsidRPr="00EC6690">
        <w:t>wire gauges</w:t>
      </w:r>
    </w:p>
    <w:p w:rsidR="00000000" w:rsidRPr="00EC6690" w:rsidP="00EC6690">
      <w:pPr>
        <w:pStyle w:val="ListBullet2"/>
      </w:pPr>
      <w:r w:rsidRPr="00EC6690">
        <w:t>test bars</w:t>
      </w:r>
    </w:p>
    <w:p w:rsidR="00000000" w:rsidRPr="00EC6690" w:rsidP="00EC6690">
      <w:pPr>
        <w:pStyle w:val="ListBullet2"/>
      </w:pPr>
      <w:r w:rsidRPr="00EC6690">
        <w:t>rules</w:t>
      </w:r>
    </w:p>
    <w:p w:rsidR="00000000" w:rsidRPr="00EC6690" w:rsidP="00EC6690">
      <w:pPr>
        <w:pStyle w:val="ListBullet2"/>
      </w:pPr>
      <w:r w:rsidRPr="00EC6690">
        <w:t>micrometers</w:t>
      </w:r>
    </w:p>
    <w:p w:rsidR="00000000" w:rsidRPr="00EC6690" w:rsidP="00EC6690">
      <w:pPr>
        <w:pStyle w:val="ListBullet2"/>
      </w:pPr>
      <w:r w:rsidRPr="00EC6690">
        <w:t>vernier callipers</w:t>
      </w:r>
    </w:p>
    <w:p w:rsidR="00000000" w:rsidRPr="00EC6690" w:rsidP="00EC6690">
      <w:pPr>
        <w:pStyle w:val="ListBullet"/>
      </w:pPr>
      <w:r w:rsidRPr="00EC6690">
        <w:t>saw blades to suit:</w:t>
      </w:r>
    </w:p>
    <w:p w:rsidR="00000000" w:rsidRPr="00EC6690" w:rsidP="00EC6690">
      <w:pPr>
        <w:pStyle w:val="ListBullet"/>
      </w:pPr>
      <w:r w:rsidRPr="00EC6690">
        <w:t>circular saws</w:t>
      </w:r>
    </w:p>
    <w:p w:rsidR="00000000" w:rsidRPr="00EC6690" w:rsidP="00EC6690">
      <w:pPr>
        <w:pStyle w:val="ListBullet"/>
      </w:pPr>
      <w:r w:rsidRPr="00EC6690">
        <w:t>band saws</w:t>
      </w:r>
    </w:p>
    <w:p w:rsidR="00000000" w:rsidRPr="00EC6690" w:rsidP="00EC6690">
      <w:pPr>
        <w:pStyle w:val="ListBullet"/>
      </w:pPr>
      <w:r w:rsidRPr="00EC6690">
        <w:t>gang saws</w:t>
      </w:r>
    </w:p>
    <w:p w:rsidR="00000000" w:rsidRPr="00EC6690" w:rsidP="00EC6690">
      <w:pPr>
        <w:pStyle w:val="ListBullet"/>
      </w:pPr>
      <w:r w:rsidRPr="00EC6690">
        <w:t>personal protective equipment suitable for swaging and shaping saw blades</w:t>
      </w:r>
    </w:p>
    <w:p w:rsidR="00000000" w:rsidRPr="00EC6690" w:rsidP="00EC6690">
      <w:pPr>
        <w:pStyle w:val="ListBullet"/>
      </w:pPr>
      <w:r w:rsidRPr="00EC6690">
        <w:t xml:space="preserve">manufacturers’ instructions for use of equipment and recommended specifications for swaging and shaping teeth </w:t>
      </w:r>
    </w:p>
    <w:p w:rsidR="00000000" w:rsidRPr="00EC6690" w:rsidP="00EC6690">
      <w:pPr>
        <w:pStyle w:val="ListBullet"/>
      </w:pPr>
      <w:r w:rsidRPr="00EC6690">
        <w:t>work order with specific instructions for swaging and shapin</w:t>
      </w:r>
      <w:r w:rsidRPr="00EC6690">
        <w:t>g saw blades for specified equipment</w:t>
      </w:r>
    </w:p>
    <w:p w:rsidR="00000000" w:rsidRPr="00EC6690" w:rsidP="00EC6690">
      <w:pPr>
        <w:pStyle w:val="ListBullet"/>
      </w:pPr>
      <w:r w:rsidRPr="00EC6690">
        <w:t>template documents for recording processing problems and equipment faults</w:t>
      </w:r>
    </w:p>
    <w:p w:rsidR="00000000" w:rsidRPr="00EC6690" w:rsidP="00EC6690">
      <w:pPr>
        <w:pStyle w:val="ListBullet"/>
      </w:pPr>
      <w:r w:rsidRPr="00EC6690">
        <w:t>organisational policies and procedures for swaging and shaping saw blades</w:t>
      </w:r>
    </w:p>
    <w:p w:rsidR="00000000" w:rsidRPr="00EC6690" w:rsidP="00EC6690">
      <w:pPr>
        <w:pStyle w:val="BodyText"/>
      </w:pPr>
    </w:p>
    <w:p w:rsidR="00000000" w:rsidRPr="00EC6690" w:rsidP="00A02AD8">
      <w:pPr>
        <w:pStyle w:val="BodyText"/>
      </w:pPr>
      <w:r w:rsidRPr="00EC6690">
        <w:t>Competency is to be assessed in the workplace or a simulated environme</w:t>
      </w:r>
      <w:r w:rsidRPr="00EC6690">
        <w:t xml:space="preserve">nt that accurately reflects performance in a real workplace setting. </w:t>
      </w:r>
    </w:p>
    <w:p w:rsidR="00000000" w:rsidRPr="00EC6690" w:rsidP="00A02AD8">
      <w:pPr>
        <w:pStyle w:val="Heading3"/>
      </w:pPr>
      <w:r w:rsidRPr="00EC6690">
        <w:rPr>
          <w:rStyle w:val="SpecialBold"/>
        </w:rPr>
        <w:t>Assessor requirements</w:t>
      </w:r>
    </w:p>
    <w:p w:rsidR="00000000" w:rsidRPr="00EC6690" w:rsidP="00A02AD8">
      <w:pPr>
        <w:pStyle w:val="BodyText"/>
      </w:pPr>
      <w:r w:rsidRPr="00EC6690">
        <w:t>Assessors must:</w:t>
      </w:r>
    </w:p>
    <w:p w:rsidR="00000000" w:rsidRPr="00EC6690" w:rsidP="00EC6690">
      <w:pPr>
        <w:pStyle w:val="ListBullet"/>
      </w:pPr>
      <w:r w:rsidRPr="00EC6690">
        <w:t>hold the appropriate assessor competency standards as outlined in regulations; and</w:t>
      </w:r>
    </w:p>
    <w:p w:rsidR="00000000" w:rsidRPr="00EC6690" w:rsidP="00EC6690">
      <w:pPr>
        <w:pStyle w:val="ListBullet"/>
      </w:pPr>
      <w:r w:rsidRPr="00EC6690">
        <w:t>be able to demonstrate vocational competencies at least to the l</w:t>
      </w:r>
      <w:r w:rsidRPr="00EC6690">
        <w:t>evel being assessed; and</w:t>
      </w:r>
    </w:p>
    <w:p w:rsidR="00000000" w:rsidRPr="00EC6690" w:rsidP="00EC6690">
      <w:pPr>
        <w:pStyle w:val="ListBullet"/>
      </w:pPr>
      <w:r w:rsidRPr="00EC6690">
        <w:t xml:space="preserve">be able to demonstrate how they are continuing to develop their VET knowledge and skills as well as maintaining their industry currency and assessor competence. </w:t>
      </w:r>
    </w:p>
    <w:p w:rsidR="00000000" w:rsidRPr="00EC6690" w:rsidP="00EC6690">
      <w:pPr>
        <w:pStyle w:val="AllowPageBreak"/>
      </w:pPr>
    </w:p>
    <w:p w:rsidR="00000000" w:rsidRPr="00EC6690" w:rsidP="00EC6690">
      <w:pPr>
        <w:pStyle w:val="Heading1"/>
      </w:pPr>
      <w:bookmarkStart w:id="5" w:name="O_911726"/>
      <w:bookmarkEnd w:id="5"/>
      <w:r w:rsidRPr="00EC6690">
        <w:t>Links</w:t>
      </w:r>
    </w:p>
    <w:p w:rsidR="00000000" w:rsidRPr="00EC6690" w:rsidP="00A02AD8">
      <w:pPr>
        <w:pStyle w:val="BodyText"/>
      </w:pPr>
      <w:r w:rsidRPr="00EC6690">
        <w:t>Companion Volume implementation guides are fou</w:t>
      </w:r>
      <w:r w:rsidRPr="00EC6690">
        <w:t xml:space="preserve">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6E64A1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EC6690" w:rsidP="00EC6690"/>
    <w:sectPr w:rsidSect="00EC66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6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690" w:rsidRPr="00A02AD8" w:rsidP="00A02A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6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AD8" w:rsidP="00EC66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2AD8" w:rsidP="00EC66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02AD8" w:rsidP="00EC66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6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A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6690" w:rsidRPr="00A02AD8" w:rsidP="00A02A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6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AD8" w:rsidRPr="002D2AF8" w:rsidP="00EC66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FWPCOT3215 Swage and shape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A02AD8" w:rsidP="00EC66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70F1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408A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E850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6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66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66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66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66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66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66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66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66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66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66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6690"/>
  </w:style>
  <w:style w:type="character" w:customStyle="1" w:styleId="Heading1Char">
    <w:name w:val="Heading 1 Char"/>
    <w:basedOn w:val="DefaultParagraphFont"/>
    <w:link w:val="Heading1"/>
    <w:rsid w:val="00EC66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66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66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669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6690"/>
    <w:rPr>
      <w:b/>
      <w:spacing w:val="0"/>
    </w:rPr>
  </w:style>
  <w:style w:type="paragraph" w:styleId="ListBullet2">
    <w:name w:val="List Bullet 2"/>
    <w:basedOn w:val="List2"/>
    <w:rsid w:val="00EC669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66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66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66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66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66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6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6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6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6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66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66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66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66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66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66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66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66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66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66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66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66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66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66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66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66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66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66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66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66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66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66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66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66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66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6690"/>
    <w:rPr>
      <w:i/>
    </w:rPr>
  </w:style>
  <w:style w:type="paragraph" w:styleId="Caption">
    <w:name w:val="caption"/>
    <w:basedOn w:val="BodyText"/>
    <w:next w:val="Normal"/>
    <w:qFormat/>
    <w:rsid w:val="00EC66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66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66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6690"/>
  </w:style>
  <w:style w:type="paragraph" w:styleId="TableofFigures">
    <w:name w:val="table of figures"/>
    <w:basedOn w:val="Normal"/>
    <w:next w:val="Normal"/>
    <w:semiHidden/>
    <w:rsid w:val="00EC66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6690"/>
    <w:pPr>
      <w:numPr>
        <w:numId w:val="11"/>
      </w:numPr>
    </w:pPr>
  </w:style>
  <w:style w:type="character" w:customStyle="1" w:styleId="WingdingSymbols">
    <w:name w:val="Wingding Symbols"/>
    <w:rsid w:val="00EC6690"/>
    <w:rPr>
      <w:rFonts w:ascii="Wingdings" w:hAnsi="Wingdings"/>
    </w:rPr>
  </w:style>
  <w:style w:type="paragraph" w:customStyle="1" w:styleId="TableHeading">
    <w:name w:val="Table Heading"/>
    <w:basedOn w:val="HeadingBase"/>
    <w:rsid w:val="00EC66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6690"/>
    <w:rPr>
      <w:color w:val="0033CC"/>
      <w:u w:val="none"/>
    </w:rPr>
  </w:style>
  <w:style w:type="paragraph" w:customStyle="1" w:styleId="BodyTextRight">
    <w:name w:val="Body Text Right"/>
    <w:basedOn w:val="BodyText"/>
    <w:rsid w:val="00EC66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66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66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66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66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66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6690"/>
    <w:rPr>
      <w:sz w:val="32"/>
    </w:rPr>
  </w:style>
  <w:style w:type="paragraph" w:customStyle="1" w:styleId="HeadingProcedure">
    <w:name w:val="Heading Procedure"/>
    <w:basedOn w:val="HeadingBase"/>
    <w:next w:val="Normal"/>
    <w:rsid w:val="00EC66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6690"/>
    <w:pPr>
      <w:spacing w:before="60" w:after="60"/>
    </w:pPr>
  </w:style>
  <w:style w:type="paragraph" w:styleId="ListContinue">
    <w:name w:val="List Continue"/>
    <w:basedOn w:val="List"/>
    <w:rsid w:val="00EC6690"/>
    <w:pPr>
      <w:ind w:firstLine="0"/>
    </w:pPr>
  </w:style>
  <w:style w:type="paragraph" w:customStyle="1" w:styleId="ListNote">
    <w:name w:val="List Note"/>
    <w:basedOn w:val="List"/>
    <w:rsid w:val="00EC66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66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66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6690"/>
    <w:rPr>
      <w:rFonts w:ascii="Courier New" w:hAnsi="Courier New"/>
    </w:rPr>
  </w:style>
  <w:style w:type="paragraph" w:customStyle="1" w:styleId="NoteBullet">
    <w:name w:val="Note Bullet"/>
    <w:basedOn w:val="Note"/>
    <w:rsid w:val="00EC66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66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66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66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669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C66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66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6690"/>
    <w:rPr>
      <w:b/>
      <w:smallCaps/>
    </w:rPr>
  </w:style>
  <w:style w:type="paragraph" w:customStyle="1" w:styleId="TableListNumber">
    <w:name w:val="Table List Number"/>
    <w:basedOn w:val="ListNumber"/>
    <w:rsid w:val="00EC66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66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6690"/>
    <w:pPr>
      <w:numPr>
        <w:numId w:val="9"/>
      </w:numPr>
    </w:pPr>
  </w:style>
  <w:style w:type="paragraph" w:customStyle="1" w:styleId="ListAlpha2">
    <w:name w:val="List Alpha 2"/>
    <w:basedOn w:val="List2"/>
    <w:rsid w:val="00EC6690"/>
    <w:pPr>
      <w:numPr>
        <w:numId w:val="8"/>
      </w:numPr>
    </w:pPr>
  </w:style>
  <w:style w:type="paragraph" w:styleId="List2">
    <w:name w:val="List 2"/>
    <w:basedOn w:val="BodyText"/>
    <w:rsid w:val="00EC66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66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66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66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669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66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6690"/>
    <w:pPr>
      <w:numPr>
        <w:numId w:val="4"/>
      </w:numPr>
    </w:pPr>
  </w:style>
  <w:style w:type="paragraph" w:styleId="ListContinue2">
    <w:name w:val="List Continue 2"/>
    <w:basedOn w:val="List2"/>
    <w:rsid w:val="00EC6690"/>
    <w:pPr>
      <w:ind w:firstLine="0"/>
    </w:pPr>
  </w:style>
  <w:style w:type="paragraph" w:styleId="ListContinue3">
    <w:name w:val="List Continue 3"/>
    <w:basedOn w:val="List3"/>
    <w:rsid w:val="00EC6690"/>
    <w:pPr>
      <w:ind w:left="1021" w:firstLine="0"/>
    </w:pPr>
  </w:style>
  <w:style w:type="paragraph" w:styleId="ListContinue4">
    <w:name w:val="List Continue 4"/>
    <w:basedOn w:val="List4"/>
    <w:rsid w:val="00EC6690"/>
    <w:pPr>
      <w:ind w:firstLine="0"/>
    </w:pPr>
  </w:style>
  <w:style w:type="paragraph" w:styleId="ListContinue5">
    <w:name w:val="List Continue 5"/>
    <w:basedOn w:val="List5"/>
    <w:rsid w:val="00EC6690"/>
    <w:pPr>
      <w:ind w:firstLine="0"/>
    </w:pPr>
  </w:style>
  <w:style w:type="paragraph" w:styleId="ListNumber3">
    <w:name w:val="List Number 3"/>
    <w:basedOn w:val="List3"/>
    <w:rsid w:val="00EC6690"/>
    <w:pPr>
      <w:numPr>
        <w:numId w:val="5"/>
      </w:numPr>
    </w:pPr>
  </w:style>
  <w:style w:type="paragraph" w:styleId="ListNumber4">
    <w:name w:val="List Number 4"/>
    <w:basedOn w:val="List4"/>
    <w:rsid w:val="00EC6690"/>
    <w:pPr>
      <w:numPr>
        <w:numId w:val="6"/>
      </w:numPr>
    </w:pPr>
  </w:style>
  <w:style w:type="paragraph" w:styleId="ListNumber5">
    <w:name w:val="List Number 5"/>
    <w:basedOn w:val="List5"/>
    <w:rsid w:val="00EC6690"/>
    <w:pPr>
      <w:numPr>
        <w:numId w:val="7"/>
      </w:numPr>
    </w:pPr>
  </w:style>
  <w:style w:type="paragraph" w:styleId="BlockText">
    <w:name w:val="Block Text"/>
    <w:basedOn w:val="Normal"/>
    <w:rsid w:val="00EC66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66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6690"/>
    <w:rPr>
      <w:sz w:val="16"/>
      <w:vertAlign w:val="superscript"/>
    </w:rPr>
  </w:style>
  <w:style w:type="character" w:customStyle="1" w:styleId="Symbols">
    <w:name w:val="Symbols"/>
    <w:basedOn w:val="DefaultParagraphFont"/>
    <w:rsid w:val="00EC6690"/>
    <w:rPr>
      <w:rFonts w:ascii="Symbol" w:hAnsi="Symbol"/>
    </w:rPr>
  </w:style>
  <w:style w:type="character" w:customStyle="1" w:styleId="MenuOptions">
    <w:name w:val="Menu Options"/>
    <w:basedOn w:val="DefaultParagraphFont"/>
    <w:rsid w:val="00EC66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6690"/>
    <w:rPr>
      <w:b/>
    </w:rPr>
  </w:style>
  <w:style w:type="character" w:customStyle="1" w:styleId="Underlined">
    <w:name w:val="Underlined"/>
    <w:basedOn w:val="DefaultParagraphFont"/>
    <w:rsid w:val="00EC6690"/>
    <w:rPr>
      <w:u w:val="single"/>
    </w:rPr>
  </w:style>
  <w:style w:type="paragraph" w:customStyle="1" w:styleId="TableBodyTextRight">
    <w:name w:val="Table Body Text Right"/>
    <w:basedOn w:val="TableBodyText"/>
    <w:rsid w:val="00EC66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6690"/>
    <w:rPr>
      <w:sz w:val="18"/>
    </w:rPr>
  </w:style>
  <w:style w:type="paragraph" w:customStyle="1" w:styleId="BodySmallRight">
    <w:name w:val="Body Small Right"/>
    <w:basedOn w:val="BodyTextRight"/>
    <w:rsid w:val="00EC6690"/>
    <w:rPr>
      <w:sz w:val="18"/>
      <w:szCs w:val="18"/>
    </w:rPr>
  </w:style>
  <w:style w:type="paragraph" w:customStyle="1" w:styleId="MarginEdition">
    <w:name w:val="Margin Edition"/>
    <w:basedOn w:val="MarginNote"/>
    <w:rsid w:val="00EC66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6690"/>
    <w:rPr>
      <w:sz w:val="2"/>
      <w:szCs w:val="2"/>
    </w:rPr>
  </w:style>
  <w:style w:type="character" w:customStyle="1" w:styleId="Small">
    <w:name w:val="Small"/>
    <w:basedOn w:val="DefaultParagraphFont"/>
    <w:rsid w:val="00EC6690"/>
    <w:rPr>
      <w:sz w:val="16"/>
    </w:rPr>
  </w:style>
  <w:style w:type="paragraph" w:customStyle="1" w:styleId="WideTable">
    <w:name w:val="Wide Table"/>
    <w:basedOn w:val="Normal"/>
    <w:rsid w:val="00EC66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6690"/>
  </w:style>
  <w:style w:type="paragraph" w:styleId="Quote">
    <w:name w:val="Quote"/>
    <w:basedOn w:val="Heading1"/>
    <w:link w:val="QuoteChar"/>
    <w:qFormat/>
    <w:rsid w:val="00EC66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66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6690"/>
    <w:pPr>
      <w:pageBreakBefore/>
    </w:pPr>
  </w:style>
  <w:style w:type="paragraph" w:customStyle="1" w:styleId="Border">
    <w:name w:val="Border"/>
    <w:basedOn w:val="Normal"/>
    <w:qFormat/>
    <w:rsid w:val="00EC66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66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6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6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66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66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66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66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66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6690"/>
    <w:rPr>
      <w:u w:val="single"/>
    </w:rPr>
  </w:style>
  <w:style w:type="character" w:customStyle="1" w:styleId="BoldandItalics">
    <w:name w:val="Bold and Italics"/>
    <w:qFormat/>
    <w:rsid w:val="00EC6690"/>
    <w:rPr>
      <w:b/>
      <w:i/>
      <w:u w:val="none"/>
    </w:rPr>
  </w:style>
  <w:style w:type="paragraph" w:styleId="BalloonText">
    <w:name w:val="Balloon Text"/>
    <w:basedOn w:val="Normal"/>
    <w:link w:val="BalloonTextChar"/>
    <w:rsid w:val="00EC66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66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66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66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66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66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669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02A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600</Words>
  <Characters>3640</Characters>
  <Application>Microsoft Office Word</Application>
  <DocSecurity>0</DocSecurity>
  <Lines>101</Lines>
  <Paragraphs>81</Paragraphs>
  <ScaleCrop>false</ScaleCrop>
  <Company>Author-it Software Corporation Ltd.</Company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FWPCOT3215 Swage and shape saw blades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2018-12-18T04:58:00Z</dcterms:created>
  <dcterms:modified xsi:type="dcterms:W3CDTF">2018-12-18T04:59:00Z</dcterms:modified>
</cp:coreProperties>
</file>